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F397D">
      <w:pPr>
        <w:keepNext w:val="0"/>
        <w:keepLines w:val="0"/>
        <w:widowControl/>
        <w:suppressLineNumbers w:val="0"/>
        <w:jc w:val="center"/>
        <w:rPr>
          <w:rFonts w:hint="eastAsia" w:ascii="黑体" w:hAnsi="黑体" w:eastAsia="黑体" w:cs="黑体"/>
          <w:b/>
          <w:bCs/>
          <w:color w:val="auto"/>
          <w:sz w:val="52"/>
          <w:szCs w:val="52"/>
          <w:highlight w:val="none"/>
          <w:lang w:eastAsia="zh-CN"/>
        </w:rPr>
      </w:pPr>
      <w:r>
        <w:rPr>
          <w:rFonts w:hint="eastAsia" w:ascii="黑体" w:hAnsi="黑体" w:eastAsia="黑体" w:cs="黑体"/>
          <w:b/>
          <w:bCs/>
          <w:color w:val="auto"/>
          <w:sz w:val="52"/>
          <w:szCs w:val="52"/>
          <w:highlight w:val="none"/>
          <w:lang w:val="en-US" w:eastAsia="zh-CN"/>
        </w:rPr>
        <w:t>沁阳市农业技术推广中心沁阳市农作物重大病虫害防控项目（二次）</w:t>
      </w:r>
    </w:p>
    <w:p w14:paraId="0A79953A">
      <w:pPr>
        <w:pStyle w:val="11"/>
        <w:rPr>
          <w:rFonts w:hint="eastAsia" w:ascii="黑体" w:hAnsi="黑体" w:eastAsia="黑体" w:cs="黑体"/>
          <w:b/>
          <w:bCs/>
          <w:color w:val="auto"/>
          <w:sz w:val="52"/>
          <w:szCs w:val="52"/>
          <w:highlight w:val="none"/>
          <w:lang w:eastAsia="zh-CN"/>
        </w:rPr>
      </w:pPr>
    </w:p>
    <w:p w14:paraId="15DCB7BE">
      <w:pPr>
        <w:pStyle w:val="11"/>
        <w:rPr>
          <w:rFonts w:hint="eastAsia" w:ascii="黑体" w:hAnsi="黑体" w:eastAsia="黑体" w:cs="黑体"/>
          <w:b/>
          <w:bCs/>
          <w:color w:val="auto"/>
          <w:sz w:val="52"/>
          <w:szCs w:val="52"/>
          <w:highlight w:val="none"/>
          <w:lang w:eastAsia="zh-CN"/>
        </w:rPr>
      </w:pPr>
    </w:p>
    <w:p w14:paraId="280BD3CD">
      <w:pPr>
        <w:pStyle w:val="11"/>
        <w:rPr>
          <w:rFonts w:hint="eastAsia" w:ascii="黑体" w:hAnsi="黑体" w:eastAsia="黑体" w:cs="黑体"/>
          <w:b/>
          <w:bCs/>
          <w:color w:val="auto"/>
          <w:sz w:val="52"/>
          <w:szCs w:val="52"/>
          <w:highlight w:val="none"/>
          <w:lang w:eastAsia="zh-CN"/>
        </w:rPr>
      </w:pPr>
    </w:p>
    <w:p w14:paraId="289AE6B1">
      <w:pPr>
        <w:pStyle w:val="11"/>
        <w:rPr>
          <w:rFonts w:hint="eastAsia" w:ascii="黑体" w:hAnsi="黑体" w:eastAsia="黑体" w:cs="黑体"/>
          <w:b/>
          <w:bCs/>
          <w:color w:val="auto"/>
          <w:sz w:val="52"/>
          <w:szCs w:val="52"/>
          <w:highlight w:val="none"/>
          <w:lang w:eastAsia="zh-CN"/>
        </w:rPr>
      </w:pPr>
    </w:p>
    <w:p w14:paraId="4667FD1F">
      <w:pPr>
        <w:shd w:val="clear"/>
        <w:spacing w:line="360" w:lineRule="auto"/>
        <w:jc w:val="center"/>
        <w:rPr>
          <w:rFonts w:hint="eastAsia" w:ascii="黑体" w:hAnsi="黑体" w:eastAsia="黑体" w:cs="黑体"/>
          <w:b/>
          <w:bCs/>
          <w:color w:val="auto"/>
          <w:sz w:val="84"/>
          <w:szCs w:val="84"/>
          <w:highlight w:val="none"/>
        </w:rPr>
      </w:pPr>
      <w:r>
        <w:rPr>
          <w:rFonts w:hint="eastAsia" w:ascii="黑体" w:hAnsi="黑体" w:eastAsia="黑体" w:cs="黑体"/>
          <w:b/>
          <w:bCs/>
          <w:color w:val="auto"/>
          <w:sz w:val="84"/>
          <w:szCs w:val="84"/>
          <w:highlight w:val="none"/>
        </w:rPr>
        <w:t>询 价 文 件</w:t>
      </w:r>
    </w:p>
    <w:p w14:paraId="13877075">
      <w:pPr>
        <w:shd w:val="clear"/>
        <w:spacing w:line="360" w:lineRule="auto"/>
        <w:jc w:val="center"/>
        <w:rPr>
          <w:rFonts w:hint="eastAsia" w:ascii="黑体" w:hAnsi="黑体" w:eastAsia="黑体" w:cs="黑体"/>
          <w:color w:val="auto"/>
          <w:sz w:val="30"/>
          <w:szCs w:val="30"/>
          <w:highlight w:val="none"/>
        </w:rPr>
      </w:pPr>
    </w:p>
    <w:p w14:paraId="036E9A49">
      <w:pPr>
        <w:ind w:firstLine="2249" w:firstLineChars="700"/>
        <w:jc w:val="left"/>
        <w:rPr>
          <w:rFonts w:hint="eastAsia" w:ascii="宋体" w:hAnsi="宋体" w:cs="黑体" w:eastAsiaTheme="minorEastAsia"/>
          <w:b/>
          <w:sz w:val="32"/>
          <w:szCs w:val="32"/>
          <w:highlight w:val="none"/>
          <w:lang w:val="en-US" w:eastAsia="zh-CN"/>
        </w:rPr>
      </w:pPr>
      <w:r>
        <w:rPr>
          <w:rFonts w:hint="eastAsia" w:ascii="宋体" w:hAnsi="宋体" w:cs="黑体"/>
          <w:b/>
          <w:sz w:val="32"/>
          <w:szCs w:val="32"/>
          <w:highlight w:val="none"/>
        </w:rPr>
        <w:t>采购编号：沁</w:t>
      </w:r>
      <w:r>
        <w:rPr>
          <w:rFonts w:hint="eastAsia" w:ascii="宋体" w:hAnsi="宋体" w:cs="黑体"/>
          <w:b/>
          <w:sz w:val="32"/>
          <w:szCs w:val="32"/>
          <w:highlight w:val="none"/>
          <w:lang w:val="en-US" w:eastAsia="zh-CN"/>
        </w:rPr>
        <w:t>财</w:t>
      </w:r>
      <w:r>
        <w:rPr>
          <w:rFonts w:hint="eastAsia" w:ascii="宋体" w:hAnsi="宋体" w:cs="黑体"/>
          <w:b/>
          <w:sz w:val="32"/>
          <w:szCs w:val="32"/>
          <w:highlight w:val="none"/>
        </w:rPr>
        <w:t>询价</w:t>
      </w:r>
      <w:r>
        <w:rPr>
          <w:rFonts w:hint="eastAsia" w:ascii="宋体" w:hAnsi="宋体" w:cs="黑体"/>
          <w:b/>
          <w:sz w:val="32"/>
          <w:szCs w:val="32"/>
          <w:highlight w:val="none"/>
          <w:lang w:val="en-US" w:eastAsia="zh-CN"/>
        </w:rPr>
        <w:t>采购</w:t>
      </w:r>
      <w:r>
        <w:rPr>
          <w:rFonts w:hint="eastAsia" w:ascii="宋体" w:hAnsi="宋体" w:cs="黑体"/>
          <w:b/>
          <w:sz w:val="32"/>
          <w:szCs w:val="32"/>
          <w:highlight w:val="none"/>
        </w:rPr>
        <w:t>-2024-</w:t>
      </w:r>
      <w:r>
        <w:rPr>
          <w:rFonts w:hint="eastAsia" w:ascii="宋体" w:hAnsi="宋体" w:cs="黑体"/>
          <w:b/>
          <w:sz w:val="32"/>
          <w:szCs w:val="32"/>
          <w:highlight w:val="none"/>
          <w:lang w:val="en-US" w:eastAsia="zh-CN"/>
        </w:rPr>
        <w:t>3</w:t>
      </w:r>
    </w:p>
    <w:p w14:paraId="713CD3FC">
      <w:pPr>
        <w:pStyle w:val="26"/>
        <w:ind w:firstLine="2249" w:firstLineChars="700"/>
        <w:jc w:val="both"/>
        <w:rPr>
          <w:rFonts w:hint="eastAsia" w:eastAsia="宋体"/>
          <w:highlight w:val="none"/>
          <w:lang w:eastAsia="zh-CN"/>
        </w:rPr>
      </w:pPr>
      <w:r>
        <w:rPr>
          <w:rFonts w:hint="eastAsia" w:ascii="宋体" w:hAnsi="宋体" w:cs="黑体"/>
          <w:b/>
          <w:sz w:val="32"/>
          <w:szCs w:val="32"/>
          <w:highlight w:val="none"/>
          <w:lang w:eastAsia="zh-CN"/>
        </w:rPr>
        <w:t>项目编号：沁公资采购H2024-</w:t>
      </w:r>
      <w:r>
        <w:rPr>
          <w:rFonts w:hint="eastAsia" w:ascii="宋体" w:hAnsi="宋体" w:cs="黑体"/>
          <w:b/>
          <w:sz w:val="32"/>
          <w:szCs w:val="32"/>
          <w:highlight w:val="none"/>
          <w:lang w:val="en-US" w:eastAsia="zh-CN"/>
        </w:rPr>
        <w:t>045</w:t>
      </w:r>
      <w:r>
        <w:rPr>
          <w:rFonts w:hint="eastAsia" w:ascii="宋体" w:hAnsi="宋体" w:cs="黑体"/>
          <w:b/>
          <w:sz w:val="32"/>
          <w:szCs w:val="32"/>
          <w:highlight w:val="none"/>
          <w:lang w:eastAsia="zh-CN"/>
        </w:rPr>
        <w:t>号</w:t>
      </w:r>
    </w:p>
    <w:p w14:paraId="6BB49A86">
      <w:pPr>
        <w:shd w:val="clear"/>
        <w:spacing w:line="360" w:lineRule="auto"/>
        <w:ind w:firstLine="562" w:firstLineChars="200"/>
        <w:jc w:val="both"/>
        <w:rPr>
          <w:rFonts w:hint="eastAsia" w:ascii="Arial" w:hAnsi="Arial" w:eastAsia="黑体"/>
          <w:b/>
          <w:bCs/>
          <w:color w:val="auto"/>
          <w:sz w:val="28"/>
          <w:szCs w:val="28"/>
          <w:highlight w:val="none"/>
        </w:rPr>
      </w:pPr>
    </w:p>
    <w:p w14:paraId="5B7BB519">
      <w:pPr>
        <w:pStyle w:val="11"/>
        <w:rPr>
          <w:rFonts w:hint="eastAsia" w:ascii="黑体" w:hAnsi="黑体" w:eastAsia="黑体" w:cs="黑体"/>
          <w:color w:val="auto"/>
          <w:sz w:val="24"/>
          <w:szCs w:val="24"/>
          <w:highlight w:val="none"/>
          <w:lang w:val="zh-CN"/>
        </w:rPr>
      </w:pPr>
    </w:p>
    <w:p w14:paraId="3E50BA9C">
      <w:pPr>
        <w:shd w:val="clear"/>
        <w:spacing w:line="360" w:lineRule="auto"/>
        <w:ind w:firstLine="1506" w:firstLineChars="500"/>
        <w:jc w:val="left"/>
        <w:rPr>
          <w:rFonts w:hint="eastAsia" w:ascii="宋体" w:hAnsi="宋体" w:eastAsia="宋体" w:cs="宋体"/>
          <w:b/>
          <w:bCs/>
          <w:color w:val="auto"/>
          <w:sz w:val="30"/>
          <w:szCs w:val="30"/>
          <w:highlight w:val="none"/>
        </w:rPr>
      </w:pPr>
    </w:p>
    <w:p w14:paraId="1D6DEA00">
      <w:pPr>
        <w:shd w:val="clear"/>
        <w:spacing w:line="360" w:lineRule="auto"/>
        <w:jc w:val="left"/>
        <w:rPr>
          <w:rFonts w:hint="eastAsia" w:ascii="宋体" w:hAnsi="宋体" w:eastAsia="宋体" w:cs="宋体"/>
          <w:b/>
          <w:bCs/>
          <w:color w:val="auto"/>
          <w:sz w:val="30"/>
          <w:szCs w:val="30"/>
          <w:highlight w:val="none"/>
        </w:rPr>
      </w:pPr>
    </w:p>
    <w:p w14:paraId="21BFCFCB">
      <w:pPr>
        <w:shd w:val="clear"/>
        <w:spacing w:line="360" w:lineRule="auto"/>
        <w:ind w:firstLine="1506" w:firstLineChars="500"/>
        <w:jc w:val="left"/>
        <w:rPr>
          <w:rFonts w:hint="eastAsia" w:ascii="宋体" w:hAnsi="宋体" w:eastAsia="宋体" w:cs="宋体"/>
          <w:b/>
          <w:bCs/>
          <w:color w:val="auto"/>
          <w:sz w:val="30"/>
          <w:szCs w:val="30"/>
          <w:highlight w:val="none"/>
        </w:rPr>
      </w:pPr>
    </w:p>
    <w:p w14:paraId="38069D07">
      <w:pPr>
        <w:shd w:val="clear"/>
        <w:spacing w:line="360" w:lineRule="auto"/>
        <w:ind w:firstLine="1506" w:firstLineChars="500"/>
        <w:jc w:val="lef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 xml:space="preserve"> 购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人：沁阳市</w:t>
      </w:r>
      <w:r>
        <w:rPr>
          <w:rFonts w:hint="eastAsia" w:ascii="宋体" w:hAnsi="宋体" w:eastAsia="宋体" w:cs="宋体"/>
          <w:b/>
          <w:bCs/>
          <w:color w:val="auto"/>
          <w:sz w:val="30"/>
          <w:szCs w:val="30"/>
          <w:highlight w:val="none"/>
          <w:lang w:eastAsia="zh-CN"/>
        </w:rPr>
        <w:t>农业技术推广中心</w:t>
      </w:r>
    </w:p>
    <w:p w14:paraId="5BD8B28D">
      <w:pPr>
        <w:shd w:val="clear"/>
        <w:spacing w:line="360" w:lineRule="auto"/>
        <w:ind w:firstLine="1506" w:firstLineChars="500"/>
        <w:jc w:val="left"/>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采购</w:t>
      </w:r>
      <w:r>
        <w:rPr>
          <w:rFonts w:hint="eastAsia" w:ascii="宋体" w:hAnsi="宋体" w:eastAsia="宋体" w:cs="宋体"/>
          <w:b/>
          <w:bCs/>
          <w:color w:val="auto"/>
          <w:sz w:val="30"/>
          <w:szCs w:val="30"/>
          <w:highlight w:val="none"/>
        </w:rPr>
        <w:t>代理机构：</w:t>
      </w:r>
      <w:r>
        <w:rPr>
          <w:rFonts w:hint="eastAsia" w:ascii="宋体" w:hAnsi="宋体" w:eastAsia="宋体" w:cs="宋体"/>
          <w:b/>
          <w:bCs/>
          <w:color w:val="auto"/>
          <w:sz w:val="30"/>
          <w:szCs w:val="30"/>
          <w:highlight w:val="none"/>
          <w:lang w:val="en-US" w:eastAsia="zh-CN"/>
        </w:rPr>
        <w:t>河南森沁工程服务有限公司</w:t>
      </w:r>
    </w:p>
    <w:p w14:paraId="3D7C83D0">
      <w:pPr>
        <w:shd w:val="clear"/>
        <w:spacing w:line="360" w:lineRule="auto"/>
        <w:ind w:firstLine="1506" w:firstLineChars="500"/>
        <w:jc w:val="left"/>
        <w:rPr>
          <w:rFonts w:hint="eastAsia" w:ascii="宋体" w:hAnsi="宋体" w:eastAsia="宋体" w:cs="宋体"/>
          <w:b/>
          <w:color w:val="auto"/>
          <w:sz w:val="44"/>
          <w:szCs w:val="44"/>
          <w:highlight w:val="none"/>
        </w:rPr>
        <w:sectPr>
          <w:footerReference r:id="rId3" w:type="default"/>
          <w:pgSz w:w="11906" w:h="16838"/>
          <w:pgMar w:top="1134" w:right="1165" w:bottom="1134" w:left="170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
          <w:bCs/>
          <w:color w:val="auto"/>
          <w:sz w:val="30"/>
          <w:szCs w:val="30"/>
          <w:highlight w:val="none"/>
        </w:rPr>
        <w:t xml:space="preserve">日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期：二〇二</w:t>
      </w:r>
      <w:r>
        <w:rPr>
          <w:rFonts w:hint="eastAsia" w:ascii="宋体" w:hAnsi="宋体" w:eastAsia="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lang w:eastAsia="zh-CN"/>
        </w:rPr>
        <w:t>九</w:t>
      </w:r>
      <w:r>
        <w:rPr>
          <w:rFonts w:hint="eastAsia" w:ascii="宋体" w:hAnsi="宋体" w:eastAsia="宋体" w:cs="宋体"/>
          <w:b/>
          <w:bCs/>
          <w:color w:val="auto"/>
          <w:sz w:val="30"/>
          <w:szCs w:val="30"/>
          <w:highlight w:val="none"/>
        </w:rPr>
        <w:t>月</w:t>
      </w:r>
    </w:p>
    <w:p w14:paraId="219E92B6">
      <w:pPr>
        <w:jc w:val="center"/>
        <w:rPr>
          <w:rFonts w:hint="eastAsia" w:ascii="仿宋_GB2312" w:hAnsi="仿宋_GB2312" w:eastAsia="仿宋_GB2312" w:cs="仿宋_GB2312"/>
          <w:sz w:val="32"/>
          <w:szCs w:val="32"/>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优化和提升政府采购营商环境政策</w:t>
      </w:r>
    </w:p>
    <w:p w14:paraId="57DB3C74">
      <w:pPr>
        <w:rPr>
          <w:rFonts w:hint="eastAsia" w:ascii="仿宋_GB2312" w:hAnsi="仿宋_GB2312" w:eastAsia="仿宋_GB2312" w:cs="仿宋_GB2312"/>
          <w:sz w:val="32"/>
          <w:szCs w:val="32"/>
          <w:highlight w:val="none"/>
          <w:lang w:val="en-US" w:eastAsia="zh-CN"/>
        </w:rPr>
      </w:pPr>
    </w:p>
    <w:p w14:paraId="0845CDA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一、免收采购文件费，全面取消投标保证金。</w:t>
      </w:r>
    </w:p>
    <w:p w14:paraId="6CD05E5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二、履约保证金。结合项目性质和特点决定是否收取，原则上不收取履约保证金，确需收取的不超3%，且不得收取现金，</w:t>
      </w:r>
      <w:r>
        <w:rPr>
          <w:rFonts w:hint="eastAsia" w:ascii="仿宋_GB2312" w:hAnsi="仿宋_GB2312" w:eastAsia="仿宋_GB2312" w:cs="仿宋_GB2312"/>
          <w:sz w:val="32"/>
          <w:szCs w:val="32"/>
          <w:highlight w:val="none"/>
        </w:rPr>
        <w:t>应当以支票、汇票、本票或者金融机构、担保机构出具的保函等非现金形式提交。</w:t>
      </w:r>
    </w:p>
    <w:p w14:paraId="6EA7F55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pacing w:val="0"/>
          <w:sz w:val="32"/>
          <w:szCs w:val="32"/>
          <w:highlight w:val="none"/>
          <w:lang w:eastAsia="zh-CN"/>
        </w:rPr>
        <w:t>三、质量保证金。</w:t>
      </w:r>
      <w:r>
        <w:rPr>
          <w:rFonts w:hint="eastAsia" w:ascii="仿宋_GB2312" w:hAnsi="仿宋_GB2312" w:eastAsia="仿宋_GB2312" w:cs="仿宋_GB2312"/>
          <w:spacing w:val="0"/>
          <w:sz w:val="32"/>
          <w:szCs w:val="32"/>
          <w:highlight w:val="none"/>
        </w:rPr>
        <w:t>政府采购货物和服务项目，不得收取质量保证金或将未支付款项作为质量保证金。工程项目收取不得超 3%，且不得以现金形式收取。</w:t>
      </w:r>
    </w:p>
    <w:p w14:paraId="058853AB">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highlight w:val="none"/>
        </w:rPr>
      </w:pPr>
      <w:r>
        <w:rPr>
          <w:rFonts w:hint="eastAsia" w:ascii="仿宋_GB2312" w:hAnsi="仿宋_GB2312" w:eastAsia="仿宋_GB2312" w:cs="仿宋_GB2312"/>
          <w:sz w:val="32"/>
          <w:szCs w:val="32"/>
          <w:highlight w:val="none"/>
          <w:lang w:val="en-US" w:eastAsia="zh-CN"/>
        </w:rPr>
        <w:t>四、落实政府采购促进中小企业发展政策。</w:t>
      </w:r>
      <w:r>
        <w:rPr>
          <w:rFonts w:hint="eastAsia" w:ascii="Times New Roman" w:hAnsi="Times New Roman" w:eastAsia="仿宋_GB2312"/>
          <w:sz w:val="32"/>
          <w:szCs w:val="32"/>
          <w:highlight w:val="none"/>
        </w:rPr>
        <w:t>200万元以下的货物、服务采购项目，400万元以下的工程采购项目，适宜由中小企业提供的，原则上全部预留给中小企业；对于超过前述金额的采购项目，预留该部分采购项目预算总额的</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0%以上专门面向中小企业采购</w:t>
      </w:r>
      <w:r>
        <w:rPr>
          <w:rFonts w:hint="eastAsia" w:ascii="Times New Roman" w:hAnsi="Times New Roman" w:eastAsia="仿宋_GB2312"/>
          <w:sz w:val="32"/>
          <w:szCs w:val="32"/>
          <w:highlight w:val="none"/>
          <w:lang w:eastAsia="zh-CN"/>
        </w:rPr>
        <w:t>。</w:t>
      </w:r>
      <w:r>
        <w:rPr>
          <w:rFonts w:ascii="仿宋" w:hAnsi="仿宋" w:eastAsia="仿宋" w:cs="仿宋"/>
          <w:color w:val="000000"/>
          <w:kern w:val="0"/>
          <w:sz w:val="31"/>
          <w:szCs w:val="31"/>
          <w:highlight w:val="none"/>
          <w:lang w:val="en-US" w:eastAsia="zh-CN" w:bidi="ar"/>
        </w:rPr>
        <w:t>预留份额通过下列</w:t>
      </w:r>
      <w:r>
        <w:rPr>
          <w:rFonts w:hint="eastAsia" w:ascii="仿宋" w:hAnsi="仿宋" w:eastAsia="仿宋" w:cs="仿宋"/>
          <w:color w:val="000000"/>
          <w:kern w:val="0"/>
          <w:sz w:val="31"/>
          <w:szCs w:val="31"/>
          <w:highlight w:val="none"/>
          <w:lang w:val="en-US" w:eastAsia="zh-CN" w:bidi="ar"/>
        </w:rPr>
        <w:t xml:space="preserve">措施进行： </w:t>
      </w:r>
    </w:p>
    <w:p w14:paraId="50010FAF">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 xml:space="preserve">（一）将采购项目整体或者设置采购包专门面向中小企业采购； </w:t>
      </w:r>
    </w:p>
    <w:p w14:paraId="22EEFF93">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 xml:space="preserve">（二）要求供应商以联合体形式参加采购活动，且联合体中中小企业承担的部分达到一定比例； </w:t>
      </w:r>
    </w:p>
    <w:p w14:paraId="3FF8AE4D">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（三）要求获得采购合同的供应商将采购项目中的一定比例分包给一家或者多家中小企业。</w:t>
      </w:r>
    </w:p>
    <w:p w14:paraId="176993AE">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BA69203">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eastAsia="仿宋_GB2312"/>
          <w:b w:val="0"/>
          <w:bCs w:val="0"/>
          <w:sz w:val="32"/>
          <w:highlight w:val="none"/>
          <w:lang w:val="en-US" w:eastAsia="zh-CN"/>
        </w:rPr>
      </w:pPr>
      <w:r>
        <w:rPr>
          <w:rFonts w:hint="eastAsia" w:ascii="仿宋_GB2312" w:hAnsi="仿宋_GB2312" w:eastAsia="仿宋_GB2312" w:cs="仿宋_GB2312"/>
          <w:b w:val="0"/>
          <w:bCs w:val="0"/>
          <w:sz w:val="32"/>
          <w:highlight w:val="none"/>
          <w:lang w:val="en-US" w:eastAsia="zh-CN"/>
        </w:rPr>
        <w:t>对非专门面向中小企业采购的项目，实施评审价格扣除支持小微企业。</w:t>
      </w:r>
      <w:r>
        <w:rPr>
          <w:rFonts w:hint="eastAsia" w:ascii="仿宋_GB2312" w:hAnsi="仿宋_GB2312" w:eastAsia="仿宋_GB2312" w:cs="仿宋_GB2312"/>
          <w:b w:val="0"/>
          <w:bCs w:val="0"/>
          <w:sz w:val="32"/>
          <w:highlight w:val="none"/>
        </w:rPr>
        <w:t>货物服务</w:t>
      </w:r>
      <w:r>
        <w:rPr>
          <w:rFonts w:hint="eastAsia" w:ascii="仿宋_GB2312" w:hAnsi="仿宋_GB2312" w:eastAsia="仿宋_GB2312" w:cs="仿宋_GB2312"/>
          <w:b w:val="0"/>
          <w:bCs w:val="0"/>
          <w:sz w:val="32"/>
          <w:highlight w:val="none"/>
          <w:lang w:eastAsia="zh-CN"/>
        </w:rPr>
        <w:t>类</w:t>
      </w:r>
      <w:r>
        <w:rPr>
          <w:rFonts w:hint="eastAsia" w:ascii="仿宋_GB2312" w:hAnsi="仿宋_GB2312" w:eastAsia="仿宋_GB2312" w:cs="仿宋_GB2312"/>
          <w:b w:val="0"/>
          <w:bCs w:val="0"/>
          <w:sz w:val="32"/>
          <w:highlight w:val="none"/>
        </w:rPr>
        <w:t>项目</w:t>
      </w:r>
      <w:r>
        <w:rPr>
          <w:rFonts w:hint="eastAsia" w:ascii="仿宋_GB2312" w:hAnsi="仿宋_GB2312" w:eastAsia="仿宋_GB2312" w:cs="仿宋_GB2312"/>
          <w:b w:val="0"/>
          <w:bCs w:val="0"/>
          <w:sz w:val="32"/>
          <w:highlight w:val="none"/>
          <w:lang w:val="en-US" w:eastAsia="zh-CN"/>
        </w:rPr>
        <w:t>的价格扣除提高至20%，大中型企业与小微企业组成联合体或者大中型企业向小微企业分包的，价格扣除提高至6%。</w:t>
      </w:r>
    </w:p>
    <w:p w14:paraId="68ADF74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五、落实政府采购支持创新产品政策，加大首台（套）重大技术装备、首批次重点新材料、首版次软件等创新产品和服务的采购支持力度，采购人可依法采用单一来源采购方式。</w:t>
      </w:r>
    </w:p>
    <w:p w14:paraId="5FA3FD0E">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六、落实促进中小企业、监狱企业、残疾人福利性单位发展等政府采购政策;节能环保产品优先采购和强制采购;支持绿色建材和绿色建筑发展；优化高校和科研院所科研仪器设备采购流程。</w:t>
      </w:r>
    </w:p>
    <w:p w14:paraId="64A3FB1E">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七、严格执行政府采购负面清单制度，供应商资格、采购需求及商务条款、评审因素等不得有影响公平、公正和充分竞争的行为。</w:t>
      </w:r>
    </w:p>
    <w:p w14:paraId="34B5FCCF">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八、评标结果确认时限。鼓励自评标（评审）结束后应 1 个工作日内确定中标（成交） 供应商，鼓励1 个工作日内公告结果，同时发送中标（成交）通知书。</w:t>
      </w:r>
    </w:p>
    <w:p w14:paraId="3D8622F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九、合同签订时限。</w:t>
      </w:r>
      <w:r>
        <w:rPr>
          <w:rFonts w:hint="eastAsia" w:ascii="仿宋_GB2312" w:hAnsi="仿宋_GB2312" w:eastAsia="仿宋_GB2312" w:cs="仿宋_GB2312"/>
          <w:b w:val="0"/>
          <w:bCs w:val="0"/>
          <w:sz w:val="32"/>
          <w:szCs w:val="32"/>
          <w:highlight w:val="none"/>
          <w:lang w:val="en-US" w:eastAsia="zh-CN"/>
        </w:rPr>
        <w:t>鼓励</w:t>
      </w:r>
      <w:r>
        <w:rPr>
          <w:rFonts w:hint="eastAsia" w:ascii="仿宋_GB2312" w:hAnsi="仿宋_GB2312" w:eastAsia="仿宋_GB2312" w:cs="仿宋_GB2312"/>
          <w:sz w:val="32"/>
          <w:szCs w:val="32"/>
          <w:highlight w:val="none"/>
          <w:lang w:val="en-US" w:eastAsia="zh-CN"/>
        </w:rPr>
        <w:t>自中标（成交）通知书发出之日起 1个工作日内，按照采购文件和投标（响应性）文件确定的事项签订政府采购合同。</w:t>
      </w:r>
    </w:p>
    <w:p w14:paraId="75C258BC">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_GB2312" w:hAnsi="仿宋_GB2312" w:eastAsia="仿宋_GB2312" w:cs="仿宋_GB2312"/>
          <w:sz w:val="32"/>
          <w:szCs w:val="32"/>
          <w:highlight w:val="none"/>
          <w:lang w:val="en-US" w:eastAsia="zh-CN"/>
        </w:rPr>
        <w:t>十、合同公告和备案时限。鼓励自合同签订之日起 1 个</w:t>
      </w:r>
    </w:p>
    <w:p w14:paraId="779427A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工作日内完成。</w:t>
      </w:r>
    </w:p>
    <w:p w14:paraId="554A037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十一、项目验收。鼓励自收到供应商项目验收建议之日起1个工作日内组织验收；鼓励验收结束后1个工作日内出具《验收报告》，并在焦作市政府采购网公告验收结果。</w:t>
      </w:r>
    </w:p>
    <w:p w14:paraId="6D990D7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十二、资金支付。按照合同约定的条件及时支付资金，不得因机构变更、人员更替、政策调整等原因拒绝或延迟资金支付。</w:t>
      </w:r>
    </w:p>
    <w:p w14:paraId="6A9BCBF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在政府采购活动中，若发现采购人或采购代理机构未按以上政策执行的，可向监督部门举报反映。</w:t>
      </w:r>
    </w:p>
    <w:p w14:paraId="0FB75963">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监督单位：沁阳市政府采购服务中心</w:t>
      </w:r>
    </w:p>
    <w:p w14:paraId="59B417E2">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监督电话：0391-5637651   </w:t>
      </w:r>
    </w:p>
    <w:p w14:paraId="1AB586E7">
      <w:pPr>
        <w:rPr>
          <w:rFonts w:hint="eastAsia" w:ascii="仿宋_GB2312" w:hAnsi="仿宋_GB2312" w:eastAsia="仿宋_GB2312" w:cs="仿宋_GB2312"/>
          <w:sz w:val="32"/>
          <w:szCs w:val="32"/>
          <w:highlight w:val="none"/>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_GB2312" w:hAnsi="仿宋_GB2312" w:eastAsia="仿宋_GB2312" w:cs="仿宋_GB2312"/>
          <w:sz w:val="32"/>
          <w:szCs w:val="32"/>
          <w:highlight w:val="none"/>
          <w:lang w:val="en-US" w:eastAsia="zh-CN"/>
        </w:rPr>
        <w:t xml:space="preserve">电子邮箱：qycgb@163.com  </w:t>
      </w:r>
      <w:r>
        <w:rPr>
          <w:rFonts w:hint="eastAsia" w:ascii="仿宋_GB2312" w:hAnsi="仿宋_GB2312" w:eastAsia="仿宋_GB2312" w:cs="仿宋_GB2312"/>
          <w:sz w:val="32"/>
          <w:szCs w:val="32"/>
          <w:highlight w:val="none"/>
          <w:lang w:val="en-US" w:eastAsia="zh-CN"/>
        </w:rPr>
        <w:br w:type="page"/>
      </w:r>
    </w:p>
    <w:p w14:paraId="32FDBE82">
      <w:pPr>
        <w:rPr>
          <w:rFonts w:hint="eastAsia" w:ascii="仿宋_GB2312" w:hAnsi="仿宋_GB2312" w:eastAsia="仿宋_GB2312" w:cs="仿宋_GB2312"/>
          <w:sz w:val="32"/>
          <w:szCs w:val="32"/>
          <w:highlight w:val="none"/>
          <w:lang w:val="en-US" w:eastAsia="zh-CN"/>
        </w:rPr>
        <w:sectPr>
          <w:footerReference r:id="rId7"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ascii="仿宋_GB2312" w:hAnsi="仿宋_GB2312" w:eastAsia="仿宋_GB2312" w:cs="仿宋_GB2312"/>
          <w:sz w:val="32"/>
          <w:szCs w:val="32"/>
          <w:highlight w:val="none"/>
          <w:lang w:val="en-US" w:eastAsia="zh-CN"/>
        </w:rPr>
        <w:drawing>
          <wp:anchor distT="0" distB="0" distL="114300" distR="114300" simplePos="0" relativeHeight="251660288" behindDoc="1" locked="0" layoutInCell="1" allowOverlap="1">
            <wp:simplePos x="0" y="0"/>
            <wp:positionH relativeFrom="column">
              <wp:posOffset>2788920</wp:posOffset>
            </wp:positionH>
            <wp:positionV relativeFrom="paragraph">
              <wp:posOffset>99695</wp:posOffset>
            </wp:positionV>
            <wp:extent cx="2573655" cy="5141595"/>
            <wp:effectExtent l="0" t="0" r="17145" b="1905"/>
            <wp:wrapNone/>
            <wp:docPr id="33" name="图片 1" descr="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poster"/>
                    <pic:cNvPicPr>
                      <a:picLocks noChangeAspect="1"/>
                    </pic:cNvPicPr>
                  </pic:nvPicPr>
                  <pic:blipFill>
                    <a:blip r:embed="rId15"/>
                    <a:stretch>
                      <a:fillRect/>
                    </a:stretch>
                  </pic:blipFill>
                  <pic:spPr>
                    <a:xfrm>
                      <a:off x="0" y="0"/>
                      <a:ext cx="2573655" cy="5141595"/>
                    </a:xfrm>
                    <a:prstGeom prst="rect">
                      <a:avLst/>
                    </a:prstGeom>
                    <a:noFill/>
                    <a:ln>
                      <a:noFill/>
                    </a:ln>
                  </pic:spPr>
                </pic:pic>
              </a:graphicData>
            </a:graphic>
          </wp:anchor>
        </w:drawing>
      </w:r>
      <w:r>
        <w:rPr>
          <w:rFonts w:hint="eastAsia" w:ascii="仿宋_GB2312" w:hAnsi="仿宋_GB2312" w:eastAsia="仿宋_GB2312" w:cs="仿宋_GB2312"/>
          <w:sz w:val="32"/>
          <w:szCs w:val="32"/>
          <w:highlight w:val="none"/>
          <w:lang w:val="en-US" w:eastAsia="zh-CN"/>
        </w:rPr>
        <w:drawing>
          <wp:anchor distT="0" distB="0" distL="114300" distR="114300" simplePos="0" relativeHeight="251661312" behindDoc="1" locked="0" layoutInCell="1" allowOverlap="1">
            <wp:simplePos x="0" y="0"/>
            <wp:positionH relativeFrom="column">
              <wp:posOffset>15875</wp:posOffset>
            </wp:positionH>
            <wp:positionV relativeFrom="paragraph">
              <wp:posOffset>93345</wp:posOffset>
            </wp:positionV>
            <wp:extent cx="2230755" cy="5167630"/>
            <wp:effectExtent l="0" t="0" r="17145" b="13970"/>
            <wp:wrapNone/>
            <wp:docPr id="34" name="图片 2"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descr="640"/>
                    <pic:cNvPicPr>
                      <a:picLocks noChangeAspect="1"/>
                    </pic:cNvPicPr>
                  </pic:nvPicPr>
                  <pic:blipFill>
                    <a:blip r:embed="rId16"/>
                    <a:stretch>
                      <a:fillRect/>
                    </a:stretch>
                  </pic:blipFill>
                  <pic:spPr>
                    <a:xfrm>
                      <a:off x="0" y="0"/>
                      <a:ext cx="2230755" cy="5167630"/>
                    </a:xfrm>
                    <a:prstGeom prst="rect">
                      <a:avLst/>
                    </a:prstGeom>
                    <a:noFill/>
                    <a:ln>
                      <a:noFill/>
                    </a:ln>
                  </pic:spPr>
                </pic:pic>
              </a:graphicData>
            </a:graphic>
          </wp:anchor>
        </w:drawing>
      </w:r>
    </w:p>
    <w:p w14:paraId="4D5E84BD">
      <w:pPr>
        <w:jc w:val="center"/>
        <w:rPr>
          <w:highlight w:val="none"/>
        </w:rPr>
      </w:pPr>
      <w:r>
        <w:rPr>
          <w:rFonts w:ascii="䅂䍄䕅⯋컌" w:hAnsi="䅂䍄䕅⯋컌" w:eastAsia="䅂䍄䕅⯋컌" w:cs="䅂䍄䕅⯋컌"/>
          <w:b/>
          <w:bCs/>
          <w:color w:val="333333"/>
          <w:kern w:val="0"/>
          <w:sz w:val="43"/>
          <w:szCs w:val="43"/>
          <w:highlight w:val="none"/>
          <w:lang w:val="en-US" w:eastAsia="zh-CN" w:bidi="ar"/>
        </w:rPr>
        <w:t>政府采购合同融资政策</w:t>
      </w:r>
    </w:p>
    <w:p w14:paraId="7FFDD57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sz w:val="32"/>
          <w:szCs w:val="32"/>
          <w:highlight w:val="none"/>
          <w:lang w:val="en-US" w:eastAsia="zh-CN"/>
        </w:rPr>
      </w:pPr>
    </w:p>
    <w:p w14:paraId="4B592ED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xml:space="preserve">为充分发挥政府采购合同资金支付有保障的优势，进一步优化我市营商环境，针对中小微企业融资难、融资贵问题，焦作市财政局联合有关部门推出了以政府采购合同预期支付能力为信用的融资政策。 </w:t>
      </w:r>
    </w:p>
    <w:p w14:paraId="5288DBB1">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xml:space="preserve">政府采购合同融资，是指参与政府采购并中标（成交）的中小微企业供应商，凭借政府采购合同向开展融资业务的服务机构申请融资贷款，融资服务机构以信贷政策为基础提供无抵押、免担保、低利率的融资产品。 </w:t>
      </w:r>
    </w:p>
    <w:p w14:paraId="67A9C62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政府采购项目中标（成交）的供应商，有融资意向的，可登陆“焦作市政府采购网”（网址：http://jiaozuo.hngp.gov.cn）的政府采购合同融资平台，查看各融资服务机构的融资产品，同时可在线向融资服务机构申请贷款，融资服务机构按照程序向您提供便捷、高效、优惠的贷款服务。</w:t>
      </w:r>
    </w:p>
    <w:p w14:paraId="02FC4B84">
      <w:pPr>
        <w:widowControl/>
        <w:shd w:val="clear" w:color="auto" w:fill="FFFFFF"/>
        <w:tabs>
          <w:tab w:val="left" w:pos="0"/>
        </w:tabs>
        <w:jc w:val="center"/>
        <w:rPr>
          <w:rFonts w:hint="eastAsia" w:ascii="宋体" w:hAnsi="宋体" w:eastAsia="宋体" w:cs="宋体"/>
          <w:color w:val="auto"/>
          <w:kern w:val="0"/>
          <w:sz w:val="44"/>
          <w:szCs w:val="44"/>
          <w:highlight w:val="none"/>
        </w:rPr>
        <w:sectPr>
          <w:headerReference r:id="rId8" w:type="default"/>
          <w:footerReference r:id="rId9" w:type="default"/>
          <w:pgSz w:w="12240" w:h="15840"/>
          <w:pgMar w:top="850" w:right="1134" w:bottom="850" w:left="1134" w:header="720" w:footer="720" w:gutter="0"/>
          <w:pgBorders>
            <w:top w:val="none" w:sz="0" w:space="0"/>
            <w:left w:val="none" w:sz="0" w:space="0"/>
            <w:bottom w:val="none" w:sz="0" w:space="0"/>
            <w:right w:val="none" w:sz="0" w:space="0"/>
          </w:pgBorders>
          <w:pgNumType w:fmt="decimal"/>
          <w:cols w:space="720" w:num="1"/>
          <w:docGrid w:type="lines" w:linePitch="380" w:charSpace="0"/>
        </w:sectPr>
      </w:pPr>
    </w:p>
    <w:p w14:paraId="1C8F6B34">
      <w:pPr>
        <w:widowControl/>
        <w:shd w:val="clear" w:color="auto" w:fill="FFFFFF"/>
        <w:tabs>
          <w:tab w:val="left" w:pos="0"/>
        </w:tabs>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44"/>
          <w:szCs w:val="44"/>
          <w:highlight w:val="none"/>
        </w:rPr>
        <w:t>政府采购合同融资操作流程图</w:t>
      </w:r>
    </w:p>
    <w:p w14:paraId="3E41870E">
      <w:pPr>
        <w:widowControl/>
        <w:shd w:val="clear" w:color="auto" w:fill="FFFFFF"/>
        <w:tabs>
          <w:tab w:val="left" w:pos="0"/>
        </w:tabs>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mc:AlternateContent>
          <mc:Choice Requires="wpg">
            <w:drawing>
              <wp:inline distT="0" distB="0" distL="114300" distR="114300">
                <wp:extent cx="6015355" cy="7014210"/>
                <wp:effectExtent l="4445" t="5080" r="0" b="10160"/>
                <wp:docPr id="3" name="组合 3"/>
                <wp:cNvGraphicFramePr/>
                <a:graphic xmlns:a="http://schemas.openxmlformats.org/drawingml/2006/main">
                  <a:graphicData uri="http://schemas.microsoft.com/office/word/2010/wordprocessingGroup">
                    <wpg:wgp>
                      <wpg:cNvGrpSpPr/>
                      <wpg:grpSpPr>
                        <a:xfrm>
                          <a:off x="0" y="0"/>
                          <a:ext cx="6015355" cy="7014210"/>
                          <a:chOff x="0" y="0"/>
                          <a:chExt cx="9473" cy="11046"/>
                        </a:xfrm>
                      </wpg:grpSpPr>
                      <wps:wsp>
                        <wps:cNvPr id="1" name="矩形 1"/>
                        <wps:cNvSpPr>
                          <a:spLocks noRot="1" noChangeAspect="1" noTextEdit="1"/>
                        </wps:cNvSpPr>
                        <wps:spPr>
                          <a:xfrm>
                            <a:off x="143" y="45"/>
                            <a:ext cx="9330" cy="11001"/>
                          </a:xfrm>
                          <a:prstGeom prst="rect">
                            <a:avLst/>
                          </a:prstGeom>
                          <a:noFill/>
                          <a:ln>
                            <a:noFill/>
                          </a:ln>
                        </wps:spPr>
                        <wps:bodyPr upright="1"/>
                      </wps:wsp>
                      <wps:wsp>
                        <wps:cNvPr id="5" name="矩形 2"/>
                        <wps:cNvSpPr/>
                        <wps:spPr>
                          <a:xfrm>
                            <a:off x="0" y="176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FD01B8">
                              <w:pPr>
                                <w:jc w:val="center"/>
                                <w:rPr>
                                  <w:rFonts w:hint="eastAsia" w:ascii="宋体" w:hAnsi="宋体"/>
                                  <w:szCs w:val="21"/>
                                </w:rPr>
                              </w:pPr>
                              <w:r>
                                <w:rPr>
                                  <w:rFonts w:hint="eastAsia" w:ascii="宋体" w:hAnsi="宋体"/>
                                  <w:szCs w:val="21"/>
                                </w:rPr>
                                <w:t>中小微企业申请</w:t>
                              </w:r>
                            </w:p>
                            <w:p w14:paraId="6AF35AF2">
                              <w:pPr>
                                <w:jc w:val="center"/>
                                <w:rPr>
                                  <w:rFonts w:hint="eastAsia" w:ascii="宋体" w:hAnsi="宋体"/>
                                  <w:sz w:val="24"/>
                                </w:rPr>
                              </w:pPr>
                            </w:p>
                          </w:txbxContent>
                        </wps:txbx>
                        <wps:bodyPr upright="1"/>
                      </wps:wsp>
                      <wps:wsp>
                        <wps:cNvPr id="6" name="矩形 3"/>
                        <wps:cNvSpPr/>
                        <wps:spPr>
                          <a:xfrm>
                            <a:off x="2799" y="142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A8325B">
                              <w:pPr>
                                <w:rPr>
                                  <w:rFonts w:hint="eastAsia"/>
                                </w:rPr>
                              </w:pPr>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wps:txbx>
                        <wps:bodyPr upright="1"/>
                      </wps:wsp>
                      <wps:wsp>
                        <wps:cNvPr id="7" name="直接连接符 4"/>
                        <wps:cNvCnPr/>
                        <wps:spPr>
                          <a:xfrm>
                            <a:off x="2177" y="2046"/>
                            <a:ext cx="622" cy="1"/>
                          </a:xfrm>
                          <a:prstGeom prst="line">
                            <a:avLst/>
                          </a:prstGeom>
                          <a:ln w="9525" cap="flat" cmpd="sng">
                            <a:solidFill>
                              <a:srgbClr val="000000"/>
                            </a:solidFill>
                            <a:prstDash val="solid"/>
                            <a:headEnd type="none" w="med" len="med"/>
                            <a:tailEnd type="triangle" w="med" len="med"/>
                          </a:ln>
                        </wps:spPr>
                        <wps:bodyPr upright="1"/>
                      </wps:wsp>
                      <wps:wsp>
                        <wps:cNvPr id="8" name="矩形 5"/>
                        <wps:cNvSpPr/>
                        <wps:spPr>
                          <a:xfrm>
                            <a:off x="0" y="466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6A27EE">
                              <w:pPr>
                                <w:ind w:firstLine="210" w:firstLineChars="100"/>
                                <w:jc w:val="both"/>
                                <w:rPr>
                                  <w:rFonts w:hint="eastAsia"/>
                                </w:rPr>
                              </w:pPr>
                              <w:r>
                                <w:rPr>
                                  <w:rFonts w:hint="eastAsia"/>
                                </w:rPr>
                                <w:t>开设收款账户</w:t>
                              </w:r>
                            </w:p>
                            <w:p w14:paraId="07B2FF82">
                              <w:pPr>
                                <w:jc w:val="center"/>
                                <w:rPr>
                                  <w:rFonts w:hint="eastAsia"/>
                                </w:rPr>
                              </w:pPr>
                              <w:r>
                                <w:rPr>
                                  <w:rFonts w:hint="eastAsia"/>
                                </w:rPr>
                                <w:t>签订政府采购合同</w:t>
                              </w:r>
                            </w:p>
                          </w:txbxContent>
                        </wps:txbx>
                        <wps:bodyPr upright="1"/>
                      </wps:wsp>
                      <wps:wsp>
                        <wps:cNvPr id="9" name="直接连接符 6"/>
                        <wps:cNvCnPr/>
                        <wps:spPr>
                          <a:xfrm>
                            <a:off x="2177" y="5241"/>
                            <a:ext cx="622" cy="1"/>
                          </a:xfrm>
                          <a:prstGeom prst="line">
                            <a:avLst/>
                          </a:prstGeom>
                          <a:ln w="9525" cap="flat" cmpd="sng">
                            <a:solidFill>
                              <a:srgbClr val="000000"/>
                            </a:solidFill>
                            <a:prstDash val="solid"/>
                            <a:headEnd type="none" w="med" len="med"/>
                            <a:tailEnd type="triangle" w="med" len="med"/>
                          </a:ln>
                        </wps:spPr>
                        <wps:bodyPr upright="1"/>
                      </wps:wsp>
                      <wps:wsp>
                        <wps:cNvPr id="10" name="矩形 7"/>
                        <wps:cNvSpPr/>
                        <wps:spPr>
                          <a:xfrm>
                            <a:off x="0" y="987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453D21">
                              <w:pPr>
                                <w:jc w:val="both"/>
                                <w:rPr>
                                  <w:rFonts w:hint="eastAsia"/>
                                </w:rPr>
                              </w:pPr>
                              <w:r>
                                <w:rPr>
                                  <w:rFonts w:hint="eastAsia"/>
                                </w:rPr>
                                <w:t>合同资金支付及还贷</w:t>
                              </w:r>
                            </w:p>
                          </w:txbxContent>
                        </wps:txbx>
                        <wps:bodyPr upright="1"/>
                      </wps:wsp>
                      <wps:wsp>
                        <wps:cNvPr id="11" name="直接连接符 8"/>
                        <wps:cNvCnPr/>
                        <wps:spPr>
                          <a:xfrm>
                            <a:off x="2177" y="10452"/>
                            <a:ext cx="622" cy="1"/>
                          </a:xfrm>
                          <a:prstGeom prst="line">
                            <a:avLst/>
                          </a:prstGeom>
                          <a:ln w="9525" cap="flat" cmpd="sng">
                            <a:solidFill>
                              <a:srgbClr val="000000"/>
                            </a:solidFill>
                            <a:prstDash val="solid"/>
                            <a:headEnd type="none" w="med" len="med"/>
                            <a:tailEnd type="triangle" w="med" len="med"/>
                          </a:ln>
                        </wps:spPr>
                        <wps:bodyPr upright="1"/>
                      </wps:wsp>
                      <wps:wsp>
                        <wps:cNvPr id="12" name="矩形 9"/>
                        <wps:cNvSpPr/>
                        <wps:spPr>
                          <a:xfrm>
                            <a:off x="2799" y="987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7E55E1">
                              <w:pPr>
                                <w:rPr>
                                  <w:rFonts w:hint="eastAsia"/>
                                </w:rPr>
                              </w:pPr>
                              <w:r>
                                <w:rPr>
                                  <w:rFonts w:hint="eastAsia"/>
                                </w:rPr>
                                <w:t>中小微企业按照合同约定履约，采购人及时开展履约验收，融资服务机构加强管理，及时锁定合同回款资金。</w:t>
                              </w:r>
                            </w:p>
                          </w:txbxContent>
                        </wps:txbx>
                        <wps:bodyPr upright="1"/>
                      </wps:wsp>
                      <wps:wsp>
                        <wps:cNvPr id="13" name="矩形 10"/>
                        <wps:cNvSpPr/>
                        <wps:spPr>
                          <a:xfrm>
                            <a:off x="0"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FCE404">
                              <w:pPr>
                                <w:jc w:val="both"/>
                                <w:rPr>
                                  <w:rFonts w:hint="eastAsia" w:ascii="宋体" w:hAnsi="宋体"/>
                                  <w:sz w:val="24"/>
                                </w:rPr>
                              </w:pPr>
                              <w:r>
                                <w:rPr>
                                  <w:rFonts w:hint="eastAsia" w:ascii="宋体" w:hAnsi="宋体"/>
                                  <w:szCs w:val="21"/>
                                </w:rPr>
                                <w:t>中小微企业领取中标（成交）通知书</w:t>
                              </w:r>
                            </w:p>
                          </w:txbxContent>
                        </wps:txbx>
                        <wps:bodyPr upright="1"/>
                      </wps:wsp>
                      <wps:wsp>
                        <wps:cNvPr id="14" name="直接连接符 11"/>
                        <wps:cNvCnPr/>
                        <wps:spPr>
                          <a:xfrm>
                            <a:off x="2177" y="609"/>
                            <a:ext cx="622" cy="1"/>
                          </a:xfrm>
                          <a:prstGeom prst="line">
                            <a:avLst/>
                          </a:prstGeom>
                          <a:ln w="9525" cap="flat" cmpd="sng">
                            <a:solidFill>
                              <a:srgbClr val="000000"/>
                            </a:solidFill>
                            <a:prstDash val="solid"/>
                            <a:headEnd type="none" w="med" len="med"/>
                            <a:tailEnd type="triangle" w="med" len="med"/>
                          </a:ln>
                        </wps:spPr>
                        <wps:bodyPr upright="1"/>
                      </wps:wsp>
                      <wps:wsp>
                        <wps:cNvPr id="15" name="矩形 12"/>
                        <wps:cNvSpPr/>
                        <wps:spPr>
                          <a:xfrm>
                            <a:off x="2799" y="3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F6EC54">
                              <w:pPr>
                                <w:rPr>
                                  <w:rFonts w:hint="eastAsia" w:ascii="宋体" w:hAnsi="宋体"/>
                                  <w:szCs w:val="21"/>
                                </w:rPr>
                              </w:pPr>
                              <w:r>
                                <w:rPr>
                                  <w:rFonts w:hint="eastAsia" w:ascii="宋体" w:hAnsi="宋体"/>
                                  <w:szCs w:val="21"/>
                                </w:rPr>
                                <w:t>采购人或采购代理机构在焦作市政府采购网发布中标（成交）结果公告，同时发出中标（成交）通知书。</w:t>
                              </w:r>
                            </w:p>
                          </w:txbxContent>
                        </wps:txbx>
                        <wps:bodyPr upright="1"/>
                      </wps:wsp>
                      <wps:wsp>
                        <wps:cNvPr id="16" name="直接连接符 13"/>
                        <wps:cNvCnPr/>
                        <wps:spPr>
                          <a:xfrm>
                            <a:off x="1098" y="1188"/>
                            <a:ext cx="1" cy="579"/>
                          </a:xfrm>
                          <a:prstGeom prst="line">
                            <a:avLst/>
                          </a:prstGeom>
                          <a:ln w="9525" cap="flat" cmpd="sng">
                            <a:solidFill>
                              <a:srgbClr val="000000"/>
                            </a:solidFill>
                            <a:prstDash val="solid"/>
                            <a:headEnd type="none" w="med" len="med"/>
                            <a:tailEnd type="triangle" w="med" len="med"/>
                          </a:ln>
                        </wps:spPr>
                        <wps:bodyPr upright="1"/>
                      </wps:wsp>
                      <wps:wsp>
                        <wps:cNvPr id="17" name="矩形 14"/>
                        <wps:cNvSpPr/>
                        <wps:spPr>
                          <a:xfrm>
                            <a:off x="0" y="292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C66847">
                              <w:pPr>
                                <w:rPr>
                                  <w:rFonts w:hint="eastAsia"/>
                                </w:rPr>
                              </w:pPr>
                            </w:p>
                            <w:p w14:paraId="12084A21">
                              <w:pPr>
                                <w:jc w:val="center"/>
                                <w:rPr>
                                  <w:rFonts w:hint="eastAsia"/>
                                </w:rPr>
                              </w:pPr>
                              <w:r>
                                <w:rPr>
                                  <w:rFonts w:hint="eastAsia"/>
                                </w:rPr>
                                <w:t>融资服务机构审查</w:t>
                              </w:r>
                            </w:p>
                          </w:txbxContent>
                        </wps:txbx>
                        <wps:bodyPr upright="1"/>
                      </wps:wsp>
                      <wps:wsp>
                        <wps:cNvPr id="18" name="直接连接符 15"/>
                        <wps:cNvCnPr/>
                        <wps:spPr>
                          <a:xfrm>
                            <a:off x="1098" y="2346"/>
                            <a:ext cx="1" cy="579"/>
                          </a:xfrm>
                          <a:prstGeom prst="line">
                            <a:avLst/>
                          </a:prstGeom>
                          <a:ln w="9525" cap="flat" cmpd="sng">
                            <a:solidFill>
                              <a:srgbClr val="000000"/>
                            </a:solidFill>
                            <a:prstDash val="solid"/>
                            <a:headEnd type="none" w="med" len="med"/>
                            <a:tailEnd type="triangle" w="med" len="med"/>
                          </a:ln>
                        </wps:spPr>
                        <wps:bodyPr upright="1"/>
                      </wps:wsp>
                      <wps:wsp>
                        <wps:cNvPr id="19" name="直接连接符 16"/>
                        <wps:cNvCnPr/>
                        <wps:spPr>
                          <a:xfrm>
                            <a:off x="2177" y="3618"/>
                            <a:ext cx="622" cy="1"/>
                          </a:xfrm>
                          <a:prstGeom prst="line">
                            <a:avLst/>
                          </a:prstGeom>
                          <a:ln w="9525" cap="flat" cmpd="sng">
                            <a:solidFill>
                              <a:srgbClr val="000000"/>
                            </a:solidFill>
                            <a:prstDash val="solid"/>
                            <a:headEnd type="none" w="med" len="med"/>
                            <a:tailEnd type="triangle" w="med" len="med"/>
                          </a:ln>
                        </wps:spPr>
                        <wps:bodyPr upright="1"/>
                      </wps:wsp>
                      <wps:wsp>
                        <wps:cNvPr id="20" name="矩形 17"/>
                        <wps:cNvSpPr/>
                        <wps:spPr>
                          <a:xfrm>
                            <a:off x="2799" y="3114"/>
                            <a:ext cx="5909" cy="10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03FB2B">
                              <w:pPr>
                                <w:rPr>
                                  <w:rFonts w:hint="eastAsia"/>
                                </w:rPr>
                              </w:pPr>
                              <w:r>
                                <w:rPr>
                                  <w:rFonts w:hint="eastAsia" w:ascii="宋体" w:hAnsi="宋体"/>
                                  <w:szCs w:val="21"/>
                                </w:rPr>
                                <w:t>对有融资意向的中小微企业，按规定开展审查，申请材料齐全完备的，一般在7个工作日内完成审批</w:t>
                              </w:r>
                              <w:r>
                                <w:rPr>
                                  <w:rFonts w:hint="eastAsia"/>
                                </w:rPr>
                                <w:t>。</w:t>
                              </w:r>
                            </w:p>
                          </w:txbxContent>
                        </wps:txbx>
                        <wps:bodyPr upright="1"/>
                      </wps:wsp>
                      <wps:wsp>
                        <wps:cNvPr id="21" name="直接连接符 18"/>
                        <wps:cNvCnPr/>
                        <wps:spPr>
                          <a:xfrm>
                            <a:off x="1068" y="4083"/>
                            <a:ext cx="1" cy="579"/>
                          </a:xfrm>
                          <a:prstGeom prst="line">
                            <a:avLst/>
                          </a:prstGeom>
                          <a:ln w="9525" cap="flat" cmpd="sng">
                            <a:solidFill>
                              <a:srgbClr val="000000"/>
                            </a:solidFill>
                            <a:prstDash val="solid"/>
                            <a:headEnd type="none" w="med" len="med"/>
                            <a:tailEnd type="triangle" w="med" len="med"/>
                          </a:ln>
                        </wps:spPr>
                        <wps:bodyPr upright="1"/>
                      </wps:wsp>
                      <wps:wsp>
                        <wps:cNvPr id="22" name="矩形 19"/>
                        <wps:cNvSpPr/>
                        <wps:spPr>
                          <a:xfrm>
                            <a:off x="2799" y="4450"/>
                            <a:ext cx="5909" cy="180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1D9D50">
                              <w:pPr>
                                <w:rPr>
                                  <w:rFonts w:hint="eastAsia"/>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wps:txbx>
                        <wps:bodyPr upright="1"/>
                      </wps:wsp>
                      <wps:wsp>
                        <wps:cNvPr id="23" name="矩形 20"/>
                        <wps:cNvSpPr/>
                        <wps:spPr>
                          <a:xfrm>
                            <a:off x="0" y="639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782FFF">
                              <w:pPr>
                                <w:rPr>
                                  <w:rFonts w:hint="eastAsia"/>
                                </w:rPr>
                              </w:pPr>
                            </w:p>
                            <w:p w14:paraId="48912E4E">
                              <w:pPr>
                                <w:jc w:val="center"/>
                                <w:rPr>
                                  <w:rFonts w:hint="eastAsia"/>
                                </w:rPr>
                              </w:pPr>
                              <w:r>
                                <w:rPr>
                                  <w:rFonts w:hint="eastAsia"/>
                                </w:rPr>
                                <w:t>政府采购合同备案</w:t>
                              </w:r>
                            </w:p>
                          </w:txbxContent>
                        </wps:txbx>
                        <wps:bodyPr upright="1"/>
                      </wps:wsp>
                      <wps:wsp>
                        <wps:cNvPr id="24" name="直接连接符 21"/>
                        <wps:cNvCnPr/>
                        <wps:spPr>
                          <a:xfrm>
                            <a:off x="2177" y="6978"/>
                            <a:ext cx="622" cy="1"/>
                          </a:xfrm>
                          <a:prstGeom prst="line">
                            <a:avLst/>
                          </a:prstGeom>
                          <a:ln w="9525" cap="flat" cmpd="sng">
                            <a:solidFill>
                              <a:srgbClr val="000000"/>
                            </a:solidFill>
                            <a:prstDash val="solid"/>
                            <a:headEnd type="none" w="med" len="med"/>
                            <a:tailEnd type="triangle" w="med" len="med"/>
                          </a:ln>
                        </wps:spPr>
                        <wps:bodyPr upright="1"/>
                      </wps:wsp>
                      <wps:wsp>
                        <wps:cNvPr id="25" name="矩形 22"/>
                        <wps:cNvSpPr/>
                        <wps:spPr>
                          <a:xfrm>
                            <a:off x="2799" y="813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618F37">
                              <w:pPr>
                                <w:rPr>
                                  <w:rFonts w:hint="eastAsia"/>
                                </w:rPr>
                              </w:pPr>
                            </w:p>
                            <w:p w14:paraId="5DF1DD79">
                              <w:pPr>
                                <w:rPr>
                                  <w:rFonts w:hint="eastAsia"/>
                                </w:rPr>
                              </w:pPr>
                              <w:r>
                                <w:rPr>
                                  <w:rFonts w:hint="eastAsia"/>
                                </w:rPr>
                                <w:t>融资服务机构确认合同的真实性后，5个工作日内完成放款。</w:t>
                              </w:r>
                            </w:p>
                          </w:txbxContent>
                        </wps:txbx>
                        <wps:bodyPr upright="1"/>
                      </wps:wsp>
                      <wps:wsp>
                        <wps:cNvPr id="26" name="矩形 23"/>
                        <wps:cNvSpPr/>
                        <wps:spPr>
                          <a:xfrm>
                            <a:off x="0" y="813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9992D8">
                              <w:pPr>
                                <w:rPr>
                                  <w:rFonts w:hint="eastAsia"/>
                                </w:rPr>
                              </w:pPr>
                            </w:p>
                            <w:p w14:paraId="5D8A3A80">
                              <w:pPr>
                                <w:jc w:val="center"/>
                                <w:rPr>
                                  <w:rFonts w:hint="eastAsia"/>
                                </w:rPr>
                              </w:pPr>
                              <w:r>
                                <w:rPr>
                                  <w:rFonts w:hint="eastAsia"/>
                                </w:rPr>
                                <w:t>融资服务机构放贷</w:t>
                              </w:r>
                            </w:p>
                          </w:txbxContent>
                        </wps:txbx>
                        <wps:bodyPr upright="1"/>
                      </wps:wsp>
                      <wps:wsp>
                        <wps:cNvPr id="27" name="矩形 24"/>
                        <wps:cNvSpPr/>
                        <wps:spPr>
                          <a:xfrm>
                            <a:off x="2799" y="639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FF0085">
                              <w:pPr>
                                <w:rPr>
                                  <w:rFonts w:hint="eastAsia"/>
                                </w:rPr>
                              </w:pPr>
                              <w:r>
                                <w:rPr>
                                  <w:rFonts w:hint="eastAsia"/>
                                </w:rPr>
                                <w:t>签订合同后2个工作日内完成备案；融资机构登陆焦作市电子化政府采购系统核对合同真实性。</w:t>
                              </w:r>
                            </w:p>
                          </w:txbxContent>
                        </wps:txbx>
                        <wps:bodyPr upright="1"/>
                      </wps:wsp>
                      <wps:wsp>
                        <wps:cNvPr id="28" name="直接连接符 25"/>
                        <wps:cNvCnPr/>
                        <wps:spPr>
                          <a:xfrm>
                            <a:off x="1023" y="5820"/>
                            <a:ext cx="1" cy="579"/>
                          </a:xfrm>
                          <a:prstGeom prst="line">
                            <a:avLst/>
                          </a:prstGeom>
                          <a:ln w="9525" cap="flat" cmpd="sng">
                            <a:solidFill>
                              <a:srgbClr val="000000"/>
                            </a:solidFill>
                            <a:prstDash val="solid"/>
                            <a:headEnd type="none" w="med" len="med"/>
                            <a:tailEnd type="triangle" w="med" len="med"/>
                          </a:ln>
                        </wps:spPr>
                        <wps:bodyPr upright="1"/>
                      </wps:wsp>
                      <wps:wsp>
                        <wps:cNvPr id="30" name="直接连接符 26"/>
                        <wps:cNvCnPr/>
                        <wps:spPr>
                          <a:xfrm>
                            <a:off x="1008" y="7557"/>
                            <a:ext cx="1" cy="579"/>
                          </a:xfrm>
                          <a:prstGeom prst="line">
                            <a:avLst/>
                          </a:prstGeom>
                          <a:ln w="9525" cap="flat" cmpd="sng">
                            <a:solidFill>
                              <a:srgbClr val="000000"/>
                            </a:solidFill>
                            <a:prstDash val="solid"/>
                            <a:headEnd type="none" w="med" len="med"/>
                            <a:tailEnd type="triangle" w="med" len="med"/>
                          </a:ln>
                        </wps:spPr>
                        <wps:bodyPr upright="1"/>
                      </wps:wsp>
                      <wps:wsp>
                        <wps:cNvPr id="35" name="直接连接符 27"/>
                        <wps:cNvCnPr/>
                        <wps:spPr>
                          <a:xfrm>
                            <a:off x="1023" y="9294"/>
                            <a:ext cx="1" cy="579"/>
                          </a:xfrm>
                          <a:prstGeom prst="line">
                            <a:avLst/>
                          </a:prstGeom>
                          <a:ln w="9525" cap="flat" cmpd="sng">
                            <a:solidFill>
                              <a:srgbClr val="000000"/>
                            </a:solidFill>
                            <a:prstDash val="solid"/>
                            <a:headEnd type="none" w="med" len="med"/>
                            <a:tailEnd type="triangle" w="med" len="med"/>
                          </a:ln>
                        </wps:spPr>
                        <wps:bodyPr upright="1"/>
                      </wps:wsp>
                      <wps:wsp>
                        <wps:cNvPr id="36" name="直接连接符 28"/>
                        <wps:cNvCnPr/>
                        <wps:spPr>
                          <a:xfrm>
                            <a:off x="2177" y="871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552.3pt;width:473.65pt;" coordsize="9473,11046" o:gfxdata="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">
                <o:lock v:ext="edit" aspectratio="f"/>
                <v:rect id="_x0000_s1026" o:spid="_x0000_s1026" o:spt="1" style="position:absolute;left:143;top:45;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2" o:spid="_x0000_s1026" o:spt="1" style="position:absolute;left:0;top:1767;height:579;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FFD01B8">
                        <w:pPr>
                          <w:jc w:val="center"/>
                          <w:rPr>
                            <w:rFonts w:hint="eastAsia" w:ascii="宋体" w:hAnsi="宋体"/>
                            <w:szCs w:val="21"/>
                          </w:rPr>
                        </w:pPr>
                        <w:r>
                          <w:rPr>
                            <w:rFonts w:hint="eastAsia" w:ascii="宋体" w:hAnsi="宋体"/>
                            <w:szCs w:val="21"/>
                          </w:rPr>
                          <w:t>中小微企业申请</w:t>
                        </w:r>
                      </w:p>
                      <w:p w14:paraId="6AF35AF2">
                        <w:pPr>
                          <w:jc w:val="center"/>
                          <w:rPr>
                            <w:rFonts w:hint="eastAsia" w:ascii="宋体" w:hAnsi="宋体"/>
                            <w:sz w:val="24"/>
                          </w:rPr>
                        </w:pPr>
                      </w:p>
                    </w:txbxContent>
                  </v:textbox>
                </v:rect>
                <v:rect id="矩形 3" o:spid="_x0000_s1026" o:spt="1" style="position:absolute;left:2799;top:1422;height:1503;width:5909;"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7A8325B">
                        <w:pPr>
                          <w:rPr>
                            <w:rFonts w:hint="eastAsia"/>
                          </w:rPr>
                        </w:pPr>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v:textbox>
                </v:rect>
                <v:line id="直接连接符 4" o:spid="_x0000_s1026" o:spt="20" style="position:absolute;left:2177;top:2046;height:1;width:622;"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5" o:spid="_x0000_s1026" o:spt="1" style="position:absolute;left:0;top:4662;height:1158;width:2177;"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4C6A27EE">
                        <w:pPr>
                          <w:ind w:firstLine="210" w:firstLineChars="100"/>
                          <w:jc w:val="both"/>
                          <w:rPr>
                            <w:rFonts w:hint="eastAsia"/>
                          </w:rPr>
                        </w:pPr>
                        <w:r>
                          <w:rPr>
                            <w:rFonts w:hint="eastAsia"/>
                          </w:rPr>
                          <w:t>开设收款账户</w:t>
                        </w:r>
                      </w:p>
                      <w:p w14:paraId="07B2FF82">
                        <w:pPr>
                          <w:jc w:val="center"/>
                          <w:rPr>
                            <w:rFonts w:hint="eastAsia"/>
                          </w:rPr>
                        </w:pPr>
                        <w:r>
                          <w:rPr>
                            <w:rFonts w:hint="eastAsia"/>
                          </w:rPr>
                          <w:t>签订政府采购合同</w:t>
                        </w:r>
                      </w:p>
                    </w:txbxContent>
                  </v:textbox>
                </v:rect>
                <v:line id="直接连接符 6" o:spid="_x0000_s1026" o:spt="20" style="position:absolute;left:2177;top:5241;height:1;width:622;"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7" o:spid="_x0000_s1026" o:spt="1" style="position:absolute;left:0;top:9873;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A453D21">
                        <w:pPr>
                          <w:jc w:val="both"/>
                          <w:rPr>
                            <w:rFonts w:hint="eastAsia"/>
                          </w:rPr>
                        </w:pPr>
                        <w:r>
                          <w:rPr>
                            <w:rFonts w:hint="eastAsia"/>
                          </w:rPr>
                          <w:t>合同资金支付及还贷</w:t>
                        </w:r>
                      </w:p>
                    </w:txbxContent>
                  </v:textbox>
                </v:rect>
                <v:line id="直接连接符 8" o:spid="_x0000_s1026" o:spt="20" style="position:absolute;left:2177;top:10452;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9" o:spid="_x0000_s1026" o:spt="1" style="position:absolute;left:2799;top:9873;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D7E55E1">
                        <w:pPr>
                          <w:rPr>
                            <w:rFonts w:hint="eastAsia"/>
                          </w:rPr>
                        </w:pPr>
                        <w:r>
                          <w:rPr>
                            <w:rFonts w:hint="eastAsia"/>
                          </w:rPr>
                          <w:t>中小微企业按照合同约定履约，采购人及时开展履约验收，融资服务机构加强管理，及时锁定合同回款资金。</w:t>
                        </w:r>
                      </w:p>
                    </w:txbxContent>
                  </v:textbox>
                </v:rect>
                <v:rect id="矩形 10" o:spid="_x0000_s1026" o:spt="1" style="position:absolute;left:0;top:0;height:1158;width:217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7FCE404">
                        <w:pPr>
                          <w:jc w:val="both"/>
                          <w:rPr>
                            <w:rFonts w:hint="eastAsia" w:ascii="宋体" w:hAnsi="宋体"/>
                            <w:sz w:val="24"/>
                          </w:rPr>
                        </w:pPr>
                        <w:r>
                          <w:rPr>
                            <w:rFonts w:hint="eastAsia" w:ascii="宋体" w:hAnsi="宋体"/>
                            <w:szCs w:val="21"/>
                          </w:rPr>
                          <w:t>中小微企业领取中标（成交）通知书</w:t>
                        </w:r>
                      </w:p>
                    </w:txbxContent>
                  </v:textbox>
                </v:rect>
                <v:line id="直接连接符 11" o:spid="_x0000_s1026" o:spt="20" style="position:absolute;left:2177;top:609;height:1;width:622;"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12" o:spid="_x0000_s1026" o:spt="1" style="position:absolute;left:2799;top:30;height:1158;width:5909;"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4F6EC54">
                        <w:pPr>
                          <w:rPr>
                            <w:rFonts w:hint="eastAsia" w:ascii="宋体" w:hAnsi="宋体"/>
                            <w:szCs w:val="21"/>
                          </w:rPr>
                        </w:pPr>
                        <w:r>
                          <w:rPr>
                            <w:rFonts w:hint="eastAsia" w:ascii="宋体" w:hAnsi="宋体"/>
                            <w:szCs w:val="21"/>
                          </w:rPr>
                          <w:t>采购人或采购代理机构在焦作市政府采购网发布中标（成交）结果公告，同时发出中标（成交）通知书。</w:t>
                        </w:r>
                      </w:p>
                    </w:txbxContent>
                  </v:textbox>
                </v:rect>
                <v:line id="直接连接符 13" o:spid="_x0000_s1026" o:spt="20" style="position:absolute;left:1098;top:1188;height:579;width:1;"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14" o:spid="_x0000_s1026" o:spt="1" style="position:absolute;left:0;top:2925;height:1158;width:2177;"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EC66847">
                        <w:pPr>
                          <w:rPr>
                            <w:rFonts w:hint="eastAsia"/>
                          </w:rPr>
                        </w:pPr>
                      </w:p>
                      <w:p w14:paraId="12084A21">
                        <w:pPr>
                          <w:jc w:val="center"/>
                          <w:rPr>
                            <w:rFonts w:hint="eastAsia"/>
                          </w:rPr>
                        </w:pPr>
                        <w:r>
                          <w:rPr>
                            <w:rFonts w:hint="eastAsia"/>
                          </w:rPr>
                          <w:t>融资服务机构审查</w:t>
                        </w:r>
                      </w:p>
                    </w:txbxContent>
                  </v:textbox>
                </v:rect>
                <v:line id="直接连接符 15" o:spid="_x0000_s1026" o:spt="20" style="position:absolute;left:1098;top:2346;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6" o:spid="_x0000_s1026" o:spt="20" style="position:absolute;left:2177;top:3618;height:1;width:622;"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7" o:spid="_x0000_s1026" o:spt="1" style="position:absolute;left:2799;top:3114;height:1074;width:5909;"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503FB2B">
                        <w:pPr>
                          <w:rPr>
                            <w:rFonts w:hint="eastAsia"/>
                          </w:rPr>
                        </w:pPr>
                        <w:r>
                          <w:rPr>
                            <w:rFonts w:hint="eastAsia" w:ascii="宋体" w:hAnsi="宋体"/>
                            <w:szCs w:val="21"/>
                          </w:rPr>
                          <w:t>对有融资意向的中小微企业，按规定开展审查，申请材料齐全完备的，一般在7个工作日内完成审批</w:t>
                        </w:r>
                        <w:r>
                          <w:rPr>
                            <w:rFonts w:hint="eastAsia"/>
                          </w:rPr>
                          <w:t>。</w:t>
                        </w:r>
                      </w:p>
                    </w:txbxContent>
                  </v:textbox>
                </v:rect>
                <v:line id="直接连接符 18" o:spid="_x0000_s1026" o:spt="20" style="position:absolute;left:1068;top:4083;height:579;width:1;"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19" o:spid="_x0000_s1026" o:spt="1" style="position:absolute;left:2799;top:4450;height:1806;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E1D9D50">
                        <w:pPr>
                          <w:rPr>
                            <w:rFonts w:hint="eastAsia"/>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v:textbox>
                </v:rect>
                <v:rect id="矩形 20" o:spid="_x0000_s1026" o:spt="1" style="position:absolute;left:0;top:6399;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3782FFF">
                        <w:pPr>
                          <w:rPr>
                            <w:rFonts w:hint="eastAsia"/>
                          </w:rPr>
                        </w:pPr>
                      </w:p>
                      <w:p w14:paraId="48912E4E">
                        <w:pPr>
                          <w:jc w:val="center"/>
                          <w:rPr>
                            <w:rFonts w:hint="eastAsia"/>
                          </w:rPr>
                        </w:pPr>
                        <w:r>
                          <w:rPr>
                            <w:rFonts w:hint="eastAsia"/>
                          </w:rPr>
                          <w:t>政府采购合同备案</w:t>
                        </w:r>
                      </w:p>
                    </w:txbxContent>
                  </v:textbox>
                </v:rect>
                <v:line id="直接连接符 21" o:spid="_x0000_s1026" o:spt="20" style="position:absolute;left:2177;top:6978;height:1;width:622;"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22" o:spid="_x0000_s1026" o:spt="1" style="position:absolute;left:2799;top:8136;height:1158;width:5909;"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F618F37">
                        <w:pPr>
                          <w:rPr>
                            <w:rFonts w:hint="eastAsia"/>
                          </w:rPr>
                        </w:pPr>
                      </w:p>
                      <w:p w14:paraId="5DF1DD79">
                        <w:pPr>
                          <w:rPr>
                            <w:rFonts w:hint="eastAsia"/>
                          </w:rPr>
                        </w:pPr>
                        <w:r>
                          <w:rPr>
                            <w:rFonts w:hint="eastAsia"/>
                          </w:rPr>
                          <w:t>融资服务机构确认合同的真实性后，5个工作日内完成放款。</w:t>
                        </w:r>
                      </w:p>
                    </w:txbxContent>
                  </v:textbox>
                </v:rect>
                <v:rect id="矩形 23" o:spid="_x0000_s1026" o:spt="1" style="position:absolute;left:0;top:8136;height:1158;width:2177;"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29992D8">
                        <w:pPr>
                          <w:rPr>
                            <w:rFonts w:hint="eastAsia"/>
                          </w:rPr>
                        </w:pPr>
                      </w:p>
                      <w:p w14:paraId="5D8A3A80">
                        <w:pPr>
                          <w:jc w:val="center"/>
                          <w:rPr>
                            <w:rFonts w:hint="eastAsia"/>
                          </w:rPr>
                        </w:pPr>
                        <w:r>
                          <w:rPr>
                            <w:rFonts w:hint="eastAsia"/>
                          </w:rPr>
                          <w:t>融资服务机构放贷</w:t>
                        </w:r>
                      </w:p>
                    </w:txbxContent>
                  </v:textbox>
                </v:rect>
                <v:rect id="矩形 24" o:spid="_x0000_s1026" o:spt="1" style="position:absolute;left:2799;top:6399;height:1158;width:5909;"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CFF0085">
                        <w:pPr>
                          <w:rPr>
                            <w:rFonts w:hint="eastAsia"/>
                          </w:rPr>
                        </w:pPr>
                        <w:r>
                          <w:rPr>
                            <w:rFonts w:hint="eastAsia"/>
                          </w:rPr>
                          <w:t>签订合同后2个工作日内完成备案；融资机构登陆焦作市电子化政府采购系统核对合同真实性。</w:t>
                        </w:r>
                      </w:p>
                    </w:txbxContent>
                  </v:textbox>
                </v:rect>
                <v:line id="直接连接符 25" o:spid="_x0000_s1026" o:spt="20" style="position:absolute;left:1023;top:5820;height:579;width:1;"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26" o:spid="_x0000_s1026" o:spt="20" style="position:absolute;left:1008;top:7557;height:579;width:1;"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27" o:spid="_x0000_s1026" o:spt="20" style="position:absolute;left:1023;top:9294;height:579;width:1;"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28" o:spid="_x0000_s1026" o:spt="20" style="position:absolute;left:2177;top:8715;height:1;width:622;"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14:paraId="1E19B9EA">
      <w:pPr>
        <w:jc w:val="center"/>
        <w:rPr>
          <w:rFonts w:hint="eastAsia" w:ascii="宋体" w:hAnsi="宋体" w:eastAsia="宋体" w:cs="宋体"/>
          <w:b/>
          <w:bCs/>
          <w:color w:val="auto"/>
          <w:sz w:val="21"/>
          <w:szCs w:val="21"/>
          <w:highlight w:val="none"/>
        </w:rPr>
      </w:pPr>
    </w:p>
    <w:p w14:paraId="67900396">
      <w:pPr>
        <w:jc w:val="center"/>
        <w:rPr>
          <w:rFonts w:hint="eastAsia" w:ascii="宋体" w:hAnsi="宋体" w:eastAsia="宋体" w:cs="宋体"/>
          <w:b/>
          <w:bCs/>
          <w:color w:val="auto"/>
          <w:sz w:val="21"/>
          <w:szCs w:val="21"/>
          <w:highlight w:val="none"/>
        </w:rPr>
      </w:pPr>
    </w:p>
    <w:p w14:paraId="08867455">
      <w:pPr>
        <w:pStyle w:val="10"/>
        <w:rPr>
          <w:rFonts w:hint="eastAsia" w:ascii="宋体" w:hAnsi="宋体" w:eastAsia="宋体" w:cs="宋体"/>
          <w:color w:val="auto"/>
          <w:sz w:val="21"/>
          <w:szCs w:val="21"/>
          <w:highlight w:val="none"/>
        </w:rPr>
      </w:pPr>
    </w:p>
    <w:p w14:paraId="60AF9928">
      <w:pPr>
        <w:widowControl/>
        <w:shd w:val="clear" w:color="auto" w:fill="FFFFFF"/>
        <w:tabs>
          <w:tab w:val="left" w:pos="0"/>
        </w:tabs>
        <w:jc w:val="both"/>
        <w:rPr>
          <w:rFonts w:hint="eastAsia" w:ascii="宋体" w:hAnsi="宋体" w:eastAsia="宋体" w:cs="宋体"/>
          <w:color w:val="auto"/>
          <w:sz w:val="21"/>
          <w:szCs w:val="21"/>
          <w:highlight w:val="none"/>
        </w:rPr>
      </w:pPr>
    </w:p>
    <w:p w14:paraId="0AEFD8FE">
      <w:pPr>
        <w:widowControl/>
        <w:shd w:val="clear" w:color="auto" w:fill="FFFFFF"/>
        <w:tabs>
          <w:tab w:val="left" w:pos="0"/>
        </w:tabs>
        <w:jc w:val="center"/>
        <w:rPr>
          <w:rFonts w:hint="eastAsia" w:ascii="宋体" w:hAnsi="宋体" w:eastAsia="宋体" w:cs="宋体"/>
          <w:color w:val="auto"/>
          <w:sz w:val="44"/>
          <w:szCs w:val="44"/>
          <w:highlight w:val="none"/>
        </w:rPr>
        <w:sectPr>
          <w:footerReference r:id="rId10" w:type="default"/>
          <w:pgSz w:w="12240" w:h="15840"/>
          <w:pgMar w:top="850" w:right="1134" w:bottom="850" w:left="1134" w:header="720" w:footer="720" w:gutter="0"/>
          <w:pgBorders>
            <w:top w:val="none" w:sz="0" w:space="0"/>
            <w:left w:val="none" w:sz="0" w:space="0"/>
            <w:bottom w:val="none" w:sz="0" w:space="0"/>
            <w:right w:val="none" w:sz="0" w:space="0"/>
          </w:pgBorders>
          <w:pgNumType w:fmt="decimal"/>
          <w:cols w:space="720" w:num="1"/>
          <w:docGrid w:type="lines" w:linePitch="380" w:charSpace="0"/>
        </w:sectPr>
      </w:pPr>
    </w:p>
    <w:p w14:paraId="2D23C96D">
      <w:pPr>
        <w:widowControl/>
        <w:shd w:val="clear" w:color="auto" w:fill="FFFFFF"/>
        <w:tabs>
          <w:tab w:val="left" w:pos="0"/>
        </w:tabs>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融资服务机构名单</w:t>
      </w:r>
    </w:p>
    <w:tbl>
      <w:tblPr>
        <w:tblStyle w:val="28"/>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1133"/>
        <w:gridCol w:w="1668"/>
        <w:gridCol w:w="2282"/>
      </w:tblGrid>
      <w:tr w14:paraId="4D49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596" w:type="dxa"/>
            <w:noWrap w:val="0"/>
            <w:vAlign w:val="center"/>
          </w:tcPr>
          <w:p w14:paraId="559778F1">
            <w:pPr>
              <w:widowControl/>
              <w:tabs>
                <w:tab w:val="left" w:pos="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133" w:type="dxa"/>
            <w:noWrap w:val="0"/>
            <w:vAlign w:val="center"/>
          </w:tcPr>
          <w:p w14:paraId="7AEEBC75">
            <w:pPr>
              <w:widowControl/>
              <w:tabs>
                <w:tab w:val="left" w:pos="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668" w:type="dxa"/>
            <w:noWrap w:val="0"/>
            <w:vAlign w:val="center"/>
          </w:tcPr>
          <w:p w14:paraId="6D5E8B2E">
            <w:pPr>
              <w:widowControl/>
              <w:tabs>
                <w:tab w:val="left" w:pos="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282" w:type="dxa"/>
            <w:noWrap w:val="0"/>
            <w:vAlign w:val="center"/>
          </w:tcPr>
          <w:p w14:paraId="7D979E9D">
            <w:pPr>
              <w:widowControl/>
              <w:tabs>
                <w:tab w:val="left" w:pos="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r>
      <w:tr w14:paraId="32A7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3596" w:type="dxa"/>
            <w:shd w:val="clear" w:color="auto" w:fill="auto"/>
            <w:noWrap w:val="0"/>
            <w:vAlign w:val="center"/>
          </w:tcPr>
          <w:p w14:paraId="4B9C6773">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中国农业银行股份有限公司</w:t>
            </w:r>
          </w:p>
          <w:p w14:paraId="77159AA9">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焦作分行</w:t>
            </w:r>
          </w:p>
        </w:tc>
        <w:tc>
          <w:tcPr>
            <w:tcW w:w="1133" w:type="dxa"/>
            <w:shd w:val="solid" w:color="FFFFFF" w:fill="auto"/>
            <w:noWrap w:val="0"/>
            <w:vAlign w:val="center"/>
          </w:tcPr>
          <w:p w14:paraId="5198D23F">
            <w:pPr>
              <w:shd w:val="solid" w:color="FFFFFF" w:fill="auto"/>
              <w:autoSpaceDN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薛国战</w:t>
            </w:r>
          </w:p>
        </w:tc>
        <w:tc>
          <w:tcPr>
            <w:tcW w:w="1668" w:type="dxa"/>
            <w:shd w:val="solid" w:color="FFFFFF" w:fill="auto"/>
            <w:noWrap w:val="0"/>
            <w:vAlign w:val="center"/>
          </w:tcPr>
          <w:p w14:paraId="0DD77160">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0391-2878039       13839109026</w:t>
            </w:r>
          </w:p>
        </w:tc>
        <w:tc>
          <w:tcPr>
            <w:tcW w:w="2282" w:type="dxa"/>
            <w:shd w:val="solid" w:color="FFFFFF" w:fill="auto"/>
            <w:noWrap w:val="0"/>
            <w:vAlign w:val="center"/>
          </w:tcPr>
          <w:p w14:paraId="5820CBF1">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焦作市民主南路88号</w:t>
            </w:r>
          </w:p>
        </w:tc>
      </w:tr>
      <w:tr w14:paraId="23DD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596" w:type="dxa"/>
            <w:shd w:val="clear" w:color="auto" w:fill="auto"/>
            <w:noWrap w:val="0"/>
            <w:vAlign w:val="center"/>
          </w:tcPr>
          <w:p w14:paraId="564F02A5">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中国银行股份有限公司焦作分行</w:t>
            </w:r>
          </w:p>
        </w:tc>
        <w:tc>
          <w:tcPr>
            <w:tcW w:w="1133" w:type="dxa"/>
            <w:shd w:val="solid" w:color="FFFFFF" w:fill="auto"/>
            <w:noWrap w:val="0"/>
            <w:vAlign w:val="center"/>
          </w:tcPr>
          <w:p w14:paraId="563018EF">
            <w:pPr>
              <w:shd w:val="solid" w:color="FFFFFF" w:fill="auto"/>
              <w:autoSpaceDN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曹阳</w:t>
            </w:r>
          </w:p>
        </w:tc>
        <w:tc>
          <w:tcPr>
            <w:tcW w:w="1668" w:type="dxa"/>
            <w:shd w:val="solid" w:color="FFFFFF" w:fill="auto"/>
            <w:noWrap w:val="0"/>
            <w:vAlign w:val="center"/>
          </w:tcPr>
          <w:p w14:paraId="77CE1D37">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0391-8825171  13839118160</w:t>
            </w:r>
          </w:p>
        </w:tc>
        <w:tc>
          <w:tcPr>
            <w:tcW w:w="2282" w:type="dxa"/>
            <w:shd w:val="solid" w:color="FFFFFF" w:fill="auto"/>
            <w:noWrap w:val="0"/>
            <w:vAlign w:val="center"/>
          </w:tcPr>
          <w:p w14:paraId="62E8C125">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焦作市丰收路159号</w:t>
            </w:r>
          </w:p>
        </w:tc>
      </w:tr>
      <w:tr w14:paraId="6EC0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noWrap w:val="0"/>
            <w:vAlign w:val="center"/>
          </w:tcPr>
          <w:p w14:paraId="64E3A59E">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中国建设银行股份有限公司焦作分行</w:t>
            </w:r>
          </w:p>
        </w:tc>
        <w:tc>
          <w:tcPr>
            <w:tcW w:w="1133" w:type="dxa"/>
            <w:shd w:val="clear" w:color="auto" w:fill="auto"/>
            <w:noWrap w:val="0"/>
            <w:vAlign w:val="center"/>
          </w:tcPr>
          <w:p w14:paraId="12D55A82">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李华莹</w:t>
            </w:r>
          </w:p>
        </w:tc>
        <w:tc>
          <w:tcPr>
            <w:tcW w:w="1668" w:type="dxa"/>
            <w:shd w:val="clear" w:color="auto" w:fill="auto"/>
            <w:noWrap w:val="0"/>
            <w:vAlign w:val="center"/>
          </w:tcPr>
          <w:p w14:paraId="3A07F181">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0391-3918471</w:t>
            </w:r>
          </w:p>
        </w:tc>
        <w:tc>
          <w:tcPr>
            <w:tcW w:w="2282" w:type="dxa"/>
            <w:shd w:val="solid" w:color="FFFFFF" w:fill="auto"/>
            <w:noWrap w:val="0"/>
            <w:vAlign w:val="center"/>
          </w:tcPr>
          <w:p w14:paraId="6F287703">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焦作市建设东路152号</w:t>
            </w:r>
          </w:p>
        </w:tc>
      </w:tr>
      <w:tr w14:paraId="744E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noWrap w:val="0"/>
            <w:vAlign w:val="center"/>
          </w:tcPr>
          <w:p w14:paraId="5378EF39">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中国邮政储蓄银行股份有限公司</w:t>
            </w:r>
          </w:p>
          <w:p w14:paraId="203A7786">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焦作市分行</w:t>
            </w:r>
          </w:p>
        </w:tc>
        <w:tc>
          <w:tcPr>
            <w:tcW w:w="1133" w:type="dxa"/>
            <w:shd w:val="solid" w:color="FFFFFF" w:fill="auto"/>
            <w:noWrap w:val="0"/>
            <w:vAlign w:val="center"/>
          </w:tcPr>
          <w:p w14:paraId="6019A3A7">
            <w:pPr>
              <w:shd w:val="solid" w:color="FFFFFF" w:fill="auto"/>
              <w:autoSpaceDN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李天祥</w:t>
            </w:r>
          </w:p>
        </w:tc>
        <w:tc>
          <w:tcPr>
            <w:tcW w:w="1668" w:type="dxa"/>
            <w:shd w:val="solid" w:color="FFFFFF" w:fill="auto"/>
            <w:noWrap w:val="0"/>
            <w:vAlign w:val="center"/>
          </w:tcPr>
          <w:p w14:paraId="586640A2">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0391-2981968 13523359082</w:t>
            </w:r>
          </w:p>
        </w:tc>
        <w:tc>
          <w:tcPr>
            <w:tcW w:w="2282" w:type="dxa"/>
            <w:shd w:val="solid" w:color="FFFFFF" w:fill="auto"/>
            <w:noWrap w:val="0"/>
            <w:vAlign w:val="center"/>
          </w:tcPr>
          <w:p w14:paraId="040A1835">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焦作市丰收中路2233号</w:t>
            </w:r>
          </w:p>
        </w:tc>
      </w:tr>
      <w:tr w14:paraId="5CC2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3596" w:type="dxa"/>
            <w:shd w:val="clear" w:color="auto" w:fill="auto"/>
            <w:noWrap w:val="0"/>
            <w:vAlign w:val="center"/>
          </w:tcPr>
          <w:p w14:paraId="7EF0C007">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焦作中旅银行股份有限公司</w:t>
            </w:r>
          </w:p>
        </w:tc>
        <w:tc>
          <w:tcPr>
            <w:tcW w:w="1133" w:type="dxa"/>
            <w:shd w:val="solid" w:color="FFFFFF" w:fill="auto"/>
            <w:noWrap w:val="0"/>
            <w:vAlign w:val="center"/>
          </w:tcPr>
          <w:p w14:paraId="606B6491">
            <w:pPr>
              <w:shd w:val="solid" w:color="FFFFFF" w:fill="auto"/>
              <w:autoSpaceDN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周建林</w:t>
            </w:r>
          </w:p>
        </w:tc>
        <w:tc>
          <w:tcPr>
            <w:tcW w:w="1668" w:type="dxa"/>
            <w:shd w:val="solid" w:color="FFFFFF" w:fill="auto"/>
            <w:noWrap w:val="0"/>
            <w:vAlign w:val="center"/>
          </w:tcPr>
          <w:p w14:paraId="0AFE9A02">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0391-2116963 15893053027 </w:t>
            </w:r>
          </w:p>
        </w:tc>
        <w:tc>
          <w:tcPr>
            <w:tcW w:w="2282" w:type="dxa"/>
            <w:shd w:val="solid" w:color="FFFFFF" w:fill="auto"/>
            <w:noWrap w:val="0"/>
            <w:vAlign w:val="center"/>
          </w:tcPr>
          <w:p w14:paraId="4206E7F9">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焦作市山阳区迎宾路</w:t>
            </w:r>
          </w:p>
          <w:p w14:paraId="1D9365B5">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1号</w:t>
            </w:r>
          </w:p>
        </w:tc>
      </w:tr>
      <w:tr w14:paraId="391B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3596" w:type="dxa"/>
            <w:shd w:val="clear" w:color="auto" w:fill="auto"/>
            <w:noWrap w:val="0"/>
            <w:vAlign w:val="center"/>
          </w:tcPr>
          <w:p w14:paraId="1445BABD">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中信银行股份有限公司焦作分行</w:t>
            </w:r>
          </w:p>
        </w:tc>
        <w:tc>
          <w:tcPr>
            <w:tcW w:w="1133" w:type="dxa"/>
            <w:shd w:val="clear" w:color="auto" w:fill="auto"/>
            <w:noWrap w:val="0"/>
            <w:vAlign w:val="center"/>
          </w:tcPr>
          <w:p w14:paraId="694DAA02">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周江江</w:t>
            </w:r>
          </w:p>
        </w:tc>
        <w:tc>
          <w:tcPr>
            <w:tcW w:w="1668" w:type="dxa"/>
            <w:shd w:val="clear" w:color="auto" w:fill="auto"/>
            <w:noWrap w:val="0"/>
            <w:vAlign w:val="center"/>
          </w:tcPr>
          <w:p w14:paraId="31CC6721">
            <w:pPr>
              <w:widowControl/>
              <w:tabs>
                <w:tab w:val="left" w:pos="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17639185001</w:t>
            </w:r>
          </w:p>
        </w:tc>
        <w:tc>
          <w:tcPr>
            <w:tcW w:w="2282" w:type="dxa"/>
            <w:shd w:val="solid" w:color="FFFFFF" w:fill="auto"/>
            <w:noWrap w:val="0"/>
            <w:vAlign w:val="center"/>
          </w:tcPr>
          <w:p w14:paraId="37FF2F9B">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焦作市塔南路1736号嘉隆国际中心</w:t>
            </w:r>
          </w:p>
        </w:tc>
      </w:tr>
      <w:tr w14:paraId="5730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noWrap w:val="0"/>
            <w:vAlign w:val="center"/>
          </w:tcPr>
          <w:p w14:paraId="00A3ACFF">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中国光大银行股份有限公司焦作分行</w:t>
            </w:r>
          </w:p>
        </w:tc>
        <w:tc>
          <w:tcPr>
            <w:tcW w:w="1133" w:type="dxa"/>
            <w:shd w:val="solid" w:color="FFFFFF" w:fill="auto"/>
            <w:noWrap w:val="0"/>
            <w:vAlign w:val="center"/>
          </w:tcPr>
          <w:p w14:paraId="22746940">
            <w:pPr>
              <w:shd w:val="solid" w:color="FFFFFF" w:fill="auto"/>
              <w:autoSpaceDN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王海宾</w:t>
            </w:r>
          </w:p>
        </w:tc>
        <w:tc>
          <w:tcPr>
            <w:tcW w:w="1668" w:type="dxa"/>
            <w:shd w:val="solid" w:color="FFFFFF" w:fill="auto"/>
            <w:noWrap w:val="0"/>
            <w:vAlign w:val="center"/>
          </w:tcPr>
          <w:p w14:paraId="018C19AB">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0391-8787996 13598534626</w:t>
            </w:r>
          </w:p>
        </w:tc>
        <w:tc>
          <w:tcPr>
            <w:tcW w:w="2282" w:type="dxa"/>
            <w:shd w:val="solid" w:color="FFFFFF" w:fill="auto"/>
            <w:noWrap w:val="0"/>
            <w:vAlign w:val="center"/>
          </w:tcPr>
          <w:p w14:paraId="2DD5A0BC">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焦作市塔南路1736号</w:t>
            </w:r>
          </w:p>
        </w:tc>
      </w:tr>
      <w:tr w14:paraId="4AF4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3596" w:type="dxa"/>
            <w:shd w:val="clear" w:color="auto" w:fill="auto"/>
            <w:noWrap w:val="0"/>
            <w:vAlign w:val="center"/>
          </w:tcPr>
          <w:p w14:paraId="6965BBEF">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中原银行股份有限公司焦作分行</w:t>
            </w:r>
          </w:p>
        </w:tc>
        <w:tc>
          <w:tcPr>
            <w:tcW w:w="1133" w:type="dxa"/>
            <w:shd w:val="solid" w:color="FFFFFF" w:fill="auto"/>
            <w:noWrap w:val="0"/>
            <w:vAlign w:val="center"/>
          </w:tcPr>
          <w:p w14:paraId="7C15726E">
            <w:pPr>
              <w:shd w:val="solid" w:color="FFFFFF" w:fill="auto"/>
              <w:autoSpaceDN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赵伟</w:t>
            </w:r>
          </w:p>
        </w:tc>
        <w:tc>
          <w:tcPr>
            <w:tcW w:w="1668" w:type="dxa"/>
            <w:shd w:val="solid" w:color="FFFFFF" w:fill="auto"/>
            <w:noWrap w:val="0"/>
            <w:vAlign w:val="center"/>
          </w:tcPr>
          <w:p w14:paraId="3D6A3394">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0391-8796520 15738533033</w:t>
            </w:r>
          </w:p>
        </w:tc>
        <w:tc>
          <w:tcPr>
            <w:tcW w:w="2282" w:type="dxa"/>
            <w:shd w:val="solid" w:color="FFFFFF" w:fill="auto"/>
            <w:noWrap w:val="0"/>
            <w:vAlign w:val="center"/>
          </w:tcPr>
          <w:p w14:paraId="7019F87B">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焦作市解放区人民路479号</w:t>
            </w:r>
          </w:p>
        </w:tc>
      </w:tr>
      <w:tr w14:paraId="44BD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596" w:type="dxa"/>
            <w:shd w:val="clear" w:color="auto" w:fill="auto"/>
            <w:noWrap w:val="0"/>
            <w:vAlign w:val="center"/>
          </w:tcPr>
          <w:p w14:paraId="394AA81A">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广发银行股份有限公司焦作分行</w:t>
            </w:r>
          </w:p>
        </w:tc>
        <w:tc>
          <w:tcPr>
            <w:tcW w:w="1133" w:type="dxa"/>
            <w:shd w:val="solid" w:color="FFFFFF" w:fill="auto"/>
            <w:noWrap w:val="0"/>
            <w:vAlign w:val="center"/>
          </w:tcPr>
          <w:p w14:paraId="436F95E9">
            <w:pPr>
              <w:shd w:val="solid" w:color="FFFFFF" w:fill="auto"/>
              <w:autoSpaceDN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张嘉强</w:t>
            </w:r>
          </w:p>
        </w:tc>
        <w:tc>
          <w:tcPr>
            <w:tcW w:w="1668" w:type="dxa"/>
            <w:shd w:val="solid" w:color="FFFFFF" w:fill="auto"/>
            <w:noWrap w:val="0"/>
            <w:vAlign w:val="center"/>
          </w:tcPr>
          <w:p w14:paraId="2FEEAF66">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0391-653785 13203910032</w:t>
            </w:r>
          </w:p>
        </w:tc>
        <w:tc>
          <w:tcPr>
            <w:tcW w:w="2282" w:type="dxa"/>
            <w:shd w:val="solid" w:color="FFFFFF" w:fill="auto"/>
            <w:noWrap w:val="0"/>
            <w:vAlign w:val="center"/>
          </w:tcPr>
          <w:p w14:paraId="0C847061">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焦作市塔南路1736号嘉隆金融中心</w:t>
            </w:r>
          </w:p>
        </w:tc>
      </w:tr>
    </w:tbl>
    <w:p w14:paraId="24D86838">
      <w:pPr>
        <w:widowControl/>
        <w:tabs>
          <w:tab w:val="left" w:pos="0"/>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备注：融资服务机构名单和人员联系方式会随时变化。具体情况可登录“焦作市政府采购网”政府采购合同融资平台查询。</w:t>
      </w:r>
    </w:p>
    <w:p w14:paraId="5C5E543B">
      <w:pPr>
        <w:shd w:val="clear"/>
        <w:spacing w:line="360" w:lineRule="auto"/>
        <w:ind w:firstLine="640" w:firstLineChars="20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xml:space="preserve"> </w:t>
      </w:r>
    </w:p>
    <w:p w14:paraId="66945465">
      <w:pPr>
        <w:shd w:val="clear"/>
        <w:spacing w:line="360" w:lineRule="auto"/>
        <w:jc w:val="center"/>
        <w:rPr>
          <w:rFonts w:hint="eastAsia" w:asciiTheme="minorEastAsia" w:hAnsiTheme="minorEastAsia" w:eastAsiaTheme="minorEastAsia" w:cstheme="minorEastAsia"/>
          <w:b/>
          <w:bCs/>
          <w:color w:val="auto"/>
          <w:sz w:val="36"/>
          <w:szCs w:val="36"/>
          <w:highlight w:val="none"/>
          <w:shd w:val="clear" w:color="auto" w:fill="FFFFFF"/>
          <w:lang w:val="en-US" w:eastAsia="zh-CN"/>
        </w:rPr>
        <w:sectPr>
          <w:pgSz w:w="11906" w:h="16838"/>
          <w:pgMar w:top="793" w:right="1189" w:bottom="1417" w:left="1191" w:header="0" w:footer="0" w:gutter="0"/>
          <w:pgBorders>
            <w:top w:val="none" w:sz="0" w:space="0"/>
            <w:left w:val="none" w:sz="0" w:space="0"/>
            <w:bottom w:val="none" w:sz="0" w:space="0"/>
            <w:right w:val="none" w:sz="0" w:space="0"/>
          </w:pgBorders>
          <w:pgNumType w:fmt="decimal"/>
          <w:cols w:space="720" w:num="1"/>
        </w:sectPr>
      </w:pPr>
    </w:p>
    <w:p w14:paraId="550387A2">
      <w:pPr>
        <w:shd w:val="clear"/>
        <w:spacing w:line="360" w:lineRule="auto"/>
        <w:jc w:val="center"/>
        <w:rPr>
          <w:rFonts w:hint="eastAsia" w:asciiTheme="minorEastAsia" w:hAnsiTheme="minorEastAsia" w:eastAsiaTheme="minorEastAsia" w:cstheme="minorEastAsia"/>
          <w:b/>
          <w:bCs/>
          <w:color w:val="auto"/>
          <w:sz w:val="32"/>
          <w:szCs w:val="32"/>
          <w:highlight w:val="none"/>
          <w:shd w:val="clear" w:color="auto" w:fill="FFFFFF"/>
          <w:lang w:eastAsia="zh-CN"/>
        </w:rPr>
      </w:pPr>
      <w:r>
        <w:rPr>
          <w:rFonts w:hint="eastAsia" w:asciiTheme="minorEastAsia" w:hAnsiTheme="minorEastAsia" w:cstheme="minorEastAsia"/>
          <w:b/>
          <w:bCs/>
          <w:color w:val="auto"/>
          <w:sz w:val="32"/>
          <w:szCs w:val="32"/>
          <w:highlight w:val="none"/>
          <w:shd w:val="clear" w:color="auto" w:fill="FFFFFF"/>
          <w:lang w:val="en-US" w:eastAsia="zh-CN"/>
        </w:rPr>
        <w:t>沁阳市农业技术推广中心沁阳市农作物重大病虫害防控项目（二次）</w:t>
      </w:r>
    </w:p>
    <w:p w14:paraId="670A07A2">
      <w:pPr>
        <w:shd w:val="clear"/>
        <w:spacing w:line="360" w:lineRule="auto"/>
        <w:jc w:val="center"/>
        <w:rPr>
          <w:rFonts w:hint="eastAsia" w:asciiTheme="minorEastAsia" w:hAnsiTheme="minorEastAsia" w:eastAsiaTheme="minorEastAsia" w:cstheme="minorEastAsia"/>
          <w:b/>
          <w:bCs/>
          <w:color w:val="auto"/>
          <w:sz w:val="32"/>
          <w:szCs w:val="32"/>
          <w:highlight w:val="none"/>
          <w:shd w:val="clear" w:color="auto" w:fill="FFFFFF"/>
        </w:rPr>
      </w:pPr>
      <w:r>
        <w:rPr>
          <w:rFonts w:hint="eastAsia" w:asciiTheme="minorEastAsia" w:hAnsiTheme="minorEastAsia" w:eastAsiaTheme="minorEastAsia" w:cstheme="minorEastAsia"/>
          <w:b/>
          <w:bCs/>
          <w:color w:val="auto"/>
          <w:sz w:val="32"/>
          <w:szCs w:val="32"/>
          <w:highlight w:val="none"/>
          <w:shd w:val="clear" w:color="auto" w:fill="FFFFFF"/>
        </w:rPr>
        <w:t>询价公告</w:t>
      </w:r>
    </w:p>
    <w:p w14:paraId="232E2FE9">
      <w:pPr>
        <w:pStyle w:val="24"/>
        <w:keepNext w:val="0"/>
        <w:keepLines w:val="0"/>
        <w:pageBreakBefore w:val="0"/>
        <w:widowControl/>
        <w:suppressLineNumbers w:val="0"/>
        <w:pBdr>
          <w:top w:val="single" w:color="auto" w:sz="4" w:space="1"/>
          <w:left w:val="single" w:color="auto" w:sz="4" w:space="4"/>
          <w:bottom w:val="single" w:color="auto" w:sz="4" w:space="1"/>
          <w:right w:val="single" w:color="auto" w:sz="4" w:space="4"/>
          <w:between w:val="none" w:color="auto" w:sz="0" w:space="0"/>
        </w:pBdr>
        <w:shd w:val="clear"/>
        <w:kinsoku/>
        <w:wordWrap/>
        <w:overflowPunct/>
        <w:topLinePunct w:val="0"/>
        <w:autoSpaceDE/>
        <w:autoSpaceDN/>
        <w:bidi w:val="0"/>
        <w:adjustRightInd/>
        <w:snapToGrid/>
        <w:spacing w:before="0" w:beforeAutospacing="0" w:after="0" w:afterAutospacing="0" w:line="440" w:lineRule="exact"/>
        <w:ind w:left="-119" w:leftChars="0" w:right="-119"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项目概况</w:t>
      </w:r>
    </w:p>
    <w:p w14:paraId="69342262">
      <w:pPr>
        <w:pStyle w:val="24"/>
        <w:keepNext w:val="0"/>
        <w:keepLines w:val="0"/>
        <w:pageBreakBefore w:val="0"/>
        <w:widowControl/>
        <w:suppressLineNumbers w:val="0"/>
        <w:pBdr>
          <w:top w:val="single" w:color="auto" w:sz="4" w:space="1"/>
          <w:left w:val="single" w:color="auto" w:sz="4" w:space="4"/>
          <w:bottom w:val="single" w:color="auto" w:sz="4" w:space="1"/>
          <w:right w:val="single" w:color="auto" w:sz="4" w:space="4"/>
          <w:between w:val="none" w:color="auto" w:sz="0" w:space="0"/>
        </w:pBdr>
        <w:shd w:val="clear"/>
        <w:kinsoku/>
        <w:wordWrap/>
        <w:overflowPunct/>
        <w:topLinePunct w:val="0"/>
        <w:autoSpaceDE/>
        <w:autoSpaceDN/>
        <w:bidi w:val="0"/>
        <w:adjustRightInd/>
        <w:snapToGrid/>
        <w:spacing w:before="0" w:beforeAutospacing="0" w:after="0" w:afterAutospacing="0" w:line="440" w:lineRule="exact"/>
        <w:ind w:left="-119" w:leftChars="0" w:right="-119"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u w:val="single"/>
          <w:shd w:val="clear" w:fill="FFFFFF"/>
          <w:lang w:val="en-US" w:eastAsia="zh-CN"/>
        </w:rPr>
        <w:t>沁阳市农业技术推广中心沁阳市农作物重大病虫害防控项目（二次）</w:t>
      </w:r>
      <w:r>
        <w:rPr>
          <w:rFonts w:hint="eastAsia" w:asciiTheme="minorEastAsia" w:hAnsiTheme="minorEastAsia" w:eastAsiaTheme="minorEastAsia" w:cstheme="minorEastAsia"/>
          <w:color w:val="auto"/>
          <w:sz w:val="24"/>
          <w:szCs w:val="24"/>
          <w:highlight w:val="none"/>
          <w:shd w:val="clear" w:fill="FFFFFF"/>
        </w:rPr>
        <w:t>的潜在投标人应在焦作市公共资源交易中心网站获取询价文件，并于</w:t>
      </w:r>
      <w:r>
        <w:rPr>
          <w:rFonts w:hint="eastAsia" w:asciiTheme="minorEastAsia" w:hAnsiTheme="minorEastAsia" w:eastAsiaTheme="minorEastAsia" w:cstheme="minorEastAsia"/>
          <w:color w:val="auto"/>
          <w:sz w:val="24"/>
          <w:szCs w:val="24"/>
          <w:highlight w:val="none"/>
          <w:u w:val="single"/>
          <w:shd w:val="clear" w:fill="FFFFFF"/>
        </w:rPr>
        <w:t>202</w:t>
      </w:r>
      <w:r>
        <w:rPr>
          <w:rFonts w:hint="eastAsia" w:asciiTheme="minorEastAsia" w:hAnsiTheme="minorEastAsia" w:cstheme="minorEastAsia"/>
          <w:color w:val="auto"/>
          <w:sz w:val="24"/>
          <w:szCs w:val="24"/>
          <w:highlight w:val="none"/>
          <w:u w:val="single"/>
          <w:shd w:val="clear" w:fill="FFFFFF"/>
          <w:lang w:val="en-US" w:eastAsia="zh-CN"/>
        </w:rPr>
        <w:t>4</w:t>
      </w:r>
      <w:r>
        <w:rPr>
          <w:rFonts w:hint="eastAsia" w:asciiTheme="minorEastAsia" w:hAnsiTheme="minorEastAsia" w:eastAsiaTheme="minorEastAsia" w:cstheme="minorEastAsia"/>
          <w:color w:val="auto"/>
          <w:sz w:val="24"/>
          <w:szCs w:val="24"/>
          <w:highlight w:val="none"/>
          <w:u w:val="single"/>
          <w:shd w:val="clear" w:fill="FFFFFF"/>
        </w:rPr>
        <w:t>年</w:t>
      </w:r>
      <w:r>
        <w:rPr>
          <w:rFonts w:hint="eastAsia" w:asciiTheme="minorEastAsia" w:hAnsiTheme="minorEastAsia" w:cstheme="minorEastAsia"/>
          <w:color w:val="auto"/>
          <w:sz w:val="24"/>
          <w:szCs w:val="24"/>
          <w:highlight w:val="none"/>
          <w:u w:val="single"/>
          <w:shd w:val="clear" w:fill="FFFFFF"/>
          <w:lang w:val="en-US" w:eastAsia="zh-CN"/>
        </w:rPr>
        <w:t>10</w:t>
      </w:r>
      <w:r>
        <w:rPr>
          <w:rFonts w:hint="eastAsia" w:asciiTheme="minorEastAsia" w:hAnsiTheme="minorEastAsia" w:eastAsiaTheme="minorEastAsia" w:cstheme="minorEastAsia"/>
          <w:color w:val="auto"/>
          <w:sz w:val="24"/>
          <w:szCs w:val="24"/>
          <w:highlight w:val="none"/>
          <w:u w:val="single"/>
          <w:shd w:val="clear" w:fill="FFFFFF"/>
        </w:rPr>
        <w:t>月</w:t>
      </w:r>
      <w:r>
        <w:rPr>
          <w:rFonts w:hint="eastAsia" w:asciiTheme="minorEastAsia" w:hAnsiTheme="minorEastAsia" w:cstheme="minorEastAsia"/>
          <w:color w:val="auto"/>
          <w:sz w:val="24"/>
          <w:szCs w:val="24"/>
          <w:highlight w:val="none"/>
          <w:u w:val="single"/>
          <w:shd w:val="clear" w:fill="FFFFFF"/>
          <w:lang w:val="en-US" w:eastAsia="zh-CN"/>
        </w:rPr>
        <w:t>08</w:t>
      </w:r>
      <w:r>
        <w:rPr>
          <w:rFonts w:hint="eastAsia" w:asciiTheme="minorEastAsia" w:hAnsiTheme="minorEastAsia" w:eastAsiaTheme="minorEastAsia" w:cstheme="minorEastAsia"/>
          <w:color w:val="auto"/>
          <w:sz w:val="24"/>
          <w:szCs w:val="24"/>
          <w:highlight w:val="none"/>
          <w:u w:val="single"/>
          <w:shd w:val="clear" w:fill="FFFFFF"/>
        </w:rPr>
        <w:t>日0</w:t>
      </w:r>
      <w:r>
        <w:rPr>
          <w:rFonts w:hint="eastAsia" w:asciiTheme="minorEastAsia" w:hAnsiTheme="minorEastAsia" w:cstheme="minorEastAsia"/>
          <w:color w:val="auto"/>
          <w:sz w:val="24"/>
          <w:szCs w:val="24"/>
          <w:highlight w:val="none"/>
          <w:u w:val="single"/>
          <w:shd w:val="clear" w:fill="FFFFFF"/>
          <w:lang w:val="en-US" w:eastAsia="zh-CN"/>
        </w:rPr>
        <w:t>8</w:t>
      </w:r>
      <w:r>
        <w:rPr>
          <w:rFonts w:hint="eastAsia" w:asciiTheme="minorEastAsia" w:hAnsiTheme="minorEastAsia" w:eastAsiaTheme="minorEastAsia" w:cstheme="minorEastAsia"/>
          <w:color w:val="auto"/>
          <w:sz w:val="24"/>
          <w:szCs w:val="24"/>
          <w:highlight w:val="none"/>
          <w:u w:val="single"/>
          <w:shd w:val="clear" w:fill="FFFFFF"/>
        </w:rPr>
        <w:t>时</w:t>
      </w:r>
      <w:r>
        <w:rPr>
          <w:rFonts w:hint="eastAsia" w:asciiTheme="minorEastAsia" w:hAnsiTheme="minorEastAsia" w:cstheme="minorEastAsia"/>
          <w:color w:val="auto"/>
          <w:sz w:val="24"/>
          <w:szCs w:val="24"/>
          <w:highlight w:val="none"/>
          <w:u w:val="single"/>
          <w:shd w:val="clear" w:fill="FFFFFF"/>
          <w:lang w:val="en-US" w:eastAsia="zh-CN"/>
        </w:rPr>
        <w:t>30分</w:t>
      </w:r>
      <w:r>
        <w:rPr>
          <w:rFonts w:hint="eastAsia" w:asciiTheme="minorEastAsia" w:hAnsiTheme="minorEastAsia" w:eastAsiaTheme="minorEastAsia" w:cstheme="minorEastAsia"/>
          <w:color w:val="auto"/>
          <w:sz w:val="24"/>
          <w:szCs w:val="24"/>
          <w:highlight w:val="none"/>
          <w:shd w:val="clear" w:fill="FFFFFF"/>
        </w:rPr>
        <w:t>（北京时间）前递交响应文件。</w:t>
      </w:r>
    </w:p>
    <w:p w14:paraId="1A402C0E">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eastAsia="zh-CN"/>
        </w:rPr>
      </w:pPr>
      <w:r>
        <w:rPr>
          <w:rFonts w:hint="eastAsia" w:asciiTheme="minorEastAsia" w:hAnsiTheme="minorEastAsia" w:eastAsiaTheme="minorEastAsia" w:cstheme="minorEastAsia"/>
          <w:color w:val="auto"/>
          <w:sz w:val="24"/>
          <w:szCs w:val="24"/>
          <w:highlight w:val="none"/>
          <w:shd w:val="clear" w:fill="FFFFFF"/>
        </w:rPr>
        <w:t>一、项目基本情况</w:t>
      </w:r>
    </w:p>
    <w:p w14:paraId="4CB61C02">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default"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eastAsia="zh-CN"/>
        </w:rPr>
        <w:t>1、</w:t>
      </w:r>
      <w:r>
        <w:rPr>
          <w:rFonts w:hint="eastAsia" w:asciiTheme="minorEastAsia" w:hAnsiTheme="minorEastAsia" w:cstheme="minorEastAsia"/>
          <w:color w:val="auto"/>
          <w:sz w:val="24"/>
          <w:szCs w:val="24"/>
          <w:highlight w:val="none"/>
          <w:shd w:val="clear" w:fill="FFFFFF"/>
          <w:lang w:val="en-US" w:eastAsia="zh-CN"/>
        </w:rPr>
        <w:t>采购</w:t>
      </w:r>
      <w:r>
        <w:rPr>
          <w:rFonts w:hint="eastAsia" w:asciiTheme="minorEastAsia" w:hAnsiTheme="minorEastAsia" w:cstheme="minorEastAsia"/>
          <w:color w:val="auto"/>
          <w:sz w:val="24"/>
          <w:szCs w:val="24"/>
          <w:highlight w:val="none"/>
          <w:shd w:val="clear" w:fill="FFFFFF"/>
          <w:lang w:eastAsia="zh-CN"/>
        </w:rPr>
        <w:t>编号：沁</w:t>
      </w:r>
      <w:r>
        <w:rPr>
          <w:rFonts w:hint="eastAsia" w:asciiTheme="minorEastAsia" w:hAnsiTheme="minorEastAsia" w:cstheme="minorEastAsia"/>
          <w:color w:val="auto"/>
          <w:sz w:val="24"/>
          <w:szCs w:val="24"/>
          <w:highlight w:val="none"/>
          <w:shd w:val="clear" w:fill="FFFFFF"/>
          <w:lang w:val="en-US" w:eastAsia="zh-CN"/>
        </w:rPr>
        <w:t>财</w:t>
      </w:r>
      <w:r>
        <w:rPr>
          <w:rFonts w:hint="eastAsia" w:asciiTheme="minorEastAsia" w:hAnsiTheme="minorEastAsia" w:cstheme="minorEastAsia"/>
          <w:color w:val="auto"/>
          <w:sz w:val="24"/>
          <w:szCs w:val="24"/>
          <w:highlight w:val="none"/>
          <w:shd w:val="clear" w:fill="FFFFFF"/>
          <w:lang w:eastAsia="zh-CN"/>
        </w:rPr>
        <w:t>询价</w:t>
      </w:r>
      <w:r>
        <w:rPr>
          <w:rFonts w:hint="eastAsia" w:asciiTheme="minorEastAsia" w:hAnsiTheme="minorEastAsia" w:cstheme="minorEastAsia"/>
          <w:color w:val="auto"/>
          <w:sz w:val="24"/>
          <w:szCs w:val="24"/>
          <w:highlight w:val="none"/>
          <w:shd w:val="clear" w:fill="FFFFFF"/>
          <w:lang w:val="en-US" w:eastAsia="zh-CN"/>
        </w:rPr>
        <w:t>采购</w:t>
      </w:r>
      <w:r>
        <w:rPr>
          <w:rFonts w:hint="eastAsia" w:asciiTheme="minorEastAsia" w:hAnsiTheme="minorEastAsia" w:cstheme="minorEastAsia"/>
          <w:color w:val="auto"/>
          <w:sz w:val="24"/>
          <w:szCs w:val="24"/>
          <w:highlight w:val="none"/>
          <w:shd w:val="clear" w:fill="FFFFFF"/>
          <w:lang w:eastAsia="zh-CN"/>
        </w:rPr>
        <w:t>-2024-</w:t>
      </w:r>
      <w:r>
        <w:rPr>
          <w:rFonts w:hint="eastAsia" w:asciiTheme="minorEastAsia" w:hAnsiTheme="minorEastAsia" w:cstheme="minorEastAsia"/>
          <w:color w:val="auto"/>
          <w:sz w:val="24"/>
          <w:szCs w:val="24"/>
          <w:highlight w:val="none"/>
          <w:shd w:val="clear" w:fill="FFFFFF"/>
          <w:lang w:val="en-US" w:eastAsia="zh-CN"/>
        </w:rPr>
        <w:t xml:space="preserve">3  </w:t>
      </w:r>
    </w:p>
    <w:p w14:paraId="3B7F6CD2">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2039" w:leftChars="171" w:right="-120" w:hanging="1680" w:hangingChars="7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shd w:val="clear" w:fill="FFFFFF"/>
        </w:rPr>
        <w:t>2、项目名称：</w:t>
      </w:r>
      <w:r>
        <w:rPr>
          <w:rFonts w:hint="eastAsia" w:asciiTheme="minorEastAsia" w:hAnsiTheme="minorEastAsia" w:cstheme="minorEastAsia"/>
          <w:color w:val="auto"/>
          <w:sz w:val="24"/>
          <w:szCs w:val="24"/>
          <w:highlight w:val="none"/>
          <w:shd w:val="clear" w:fill="FFFFFF"/>
          <w:lang w:val="en-US" w:eastAsia="zh-CN"/>
        </w:rPr>
        <w:t>沁阳市农业技术推广中心沁阳市农作物重大病虫害防控项目（二次）</w:t>
      </w:r>
    </w:p>
    <w:p w14:paraId="1CFD7192">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3、采购方式：询价采购</w:t>
      </w:r>
    </w:p>
    <w:p w14:paraId="3E435E95">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4、预算金额：</w:t>
      </w:r>
      <w:r>
        <w:rPr>
          <w:rFonts w:hint="eastAsia" w:asciiTheme="minorEastAsia" w:hAnsiTheme="minorEastAsia" w:cstheme="minorEastAsia"/>
          <w:color w:val="auto"/>
          <w:sz w:val="24"/>
          <w:szCs w:val="24"/>
          <w:highlight w:val="none"/>
          <w:shd w:val="clear" w:fill="FFFFFF"/>
          <w:lang w:val="en-US" w:eastAsia="zh-CN"/>
        </w:rPr>
        <w:t>叁拾叁万玖仟叁佰</w:t>
      </w:r>
      <w:r>
        <w:rPr>
          <w:rFonts w:hint="eastAsia" w:asciiTheme="minorEastAsia" w:hAnsiTheme="minorEastAsia" w:cstheme="minorEastAsia"/>
          <w:color w:val="auto"/>
          <w:sz w:val="24"/>
          <w:szCs w:val="24"/>
          <w:highlight w:val="none"/>
          <w:shd w:val="clear" w:fill="FFFFFF"/>
          <w:lang w:eastAsia="zh-CN"/>
        </w:rPr>
        <w:t>元整（</w:t>
      </w:r>
      <w:r>
        <w:rPr>
          <w:rFonts w:hint="eastAsia" w:asciiTheme="minorEastAsia" w:hAnsiTheme="minorEastAsia" w:cstheme="minorEastAsia"/>
          <w:color w:val="auto"/>
          <w:sz w:val="24"/>
          <w:szCs w:val="24"/>
          <w:highlight w:val="none"/>
          <w:shd w:val="clear" w:fill="FFFFFF"/>
          <w:lang w:val="en-US" w:eastAsia="zh-CN"/>
        </w:rPr>
        <w:t>339300.00元</w:t>
      </w:r>
      <w:r>
        <w:rPr>
          <w:rFonts w:hint="eastAsia" w:asciiTheme="minorEastAsia" w:hAnsiTheme="minorEastAsia" w:cstheme="minorEastAsia"/>
          <w:color w:val="auto"/>
          <w:sz w:val="24"/>
          <w:szCs w:val="24"/>
          <w:highlight w:val="none"/>
          <w:shd w:val="clear" w:fill="FFFFFF"/>
          <w:lang w:eastAsia="zh-CN"/>
        </w:rPr>
        <w:t>）</w:t>
      </w:r>
    </w:p>
    <w:p w14:paraId="34028CA7">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right="-120" w:firstLine="720" w:firstLineChars="3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最高限价：</w:t>
      </w:r>
      <w:r>
        <w:rPr>
          <w:rFonts w:hint="eastAsia" w:asciiTheme="minorEastAsia" w:hAnsiTheme="minorEastAsia" w:cstheme="minorEastAsia"/>
          <w:color w:val="auto"/>
          <w:sz w:val="24"/>
          <w:szCs w:val="24"/>
          <w:highlight w:val="none"/>
          <w:shd w:val="clear" w:fill="FFFFFF"/>
          <w:lang w:val="en-US" w:eastAsia="zh-CN"/>
        </w:rPr>
        <w:t>叁拾叁万玖仟叁佰</w:t>
      </w:r>
      <w:r>
        <w:rPr>
          <w:rFonts w:hint="eastAsia" w:asciiTheme="minorEastAsia" w:hAnsiTheme="minorEastAsia" w:cstheme="minorEastAsia"/>
          <w:color w:val="auto"/>
          <w:sz w:val="24"/>
          <w:szCs w:val="24"/>
          <w:highlight w:val="none"/>
          <w:shd w:val="clear" w:fill="FFFFFF"/>
          <w:lang w:eastAsia="zh-CN"/>
        </w:rPr>
        <w:t>元整（</w:t>
      </w:r>
      <w:r>
        <w:rPr>
          <w:rFonts w:hint="eastAsia" w:asciiTheme="minorEastAsia" w:hAnsiTheme="minorEastAsia" w:cstheme="minorEastAsia"/>
          <w:color w:val="auto"/>
          <w:sz w:val="24"/>
          <w:szCs w:val="24"/>
          <w:highlight w:val="none"/>
          <w:shd w:val="clear" w:fill="FFFFFF"/>
          <w:lang w:val="en-US" w:eastAsia="zh-CN"/>
        </w:rPr>
        <w:t>339300.00元</w:t>
      </w:r>
      <w:r>
        <w:rPr>
          <w:rFonts w:hint="eastAsia" w:asciiTheme="minorEastAsia" w:hAnsiTheme="minorEastAsia" w:cstheme="minorEastAsia"/>
          <w:color w:val="auto"/>
          <w:sz w:val="24"/>
          <w:szCs w:val="24"/>
          <w:highlight w:val="none"/>
          <w:shd w:val="clear" w:fill="FFFFFF"/>
          <w:lang w:eastAsia="zh-CN"/>
        </w:rPr>
        <w:t>）</w:t>
      </w:r>
    </w:p>
    <w:tbl>
      <w:tblPr>
        <w:tblStyle w:val="28"/>
        <w:tblW w:w="10515"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6"/>
        <w:gridCol w:w="1503"/>
        <w:gridCol w:w="2472"/>
        <w:gridCol w:w="1421"/>
        <w:gridCol w:w="1431"/>
        <w:gridCol w:w="1431"/>
        <w:gridCol w:w="1431"/>
      </w:tblGrid>
      <w:tr w14:paraId="405D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32" w:hRule="atLeast"/>
          <w:tblCellSpacing w:w="15" w:type="dxa"/>
          <w:jc w:val="center"/>
        </w:trPr>
        <w:tc>
          <w:tcPr>
            <w:tcW w:w="78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4A9C377">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序号</w:t>
            </w:r>
          </w:p>
        </w:tc>
        <w:tc>
          <w:tcPr>
            <w:tcW w:w="147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371920">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包号</w:t>
            </w:r>
          </w:p>
        </w:tc>
        <w:tc>
          <w:tcPr>
            <w:tcW w:w="244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3DE6E3">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包名称</w:t>
            </w:r>
          </w:p>
        </w:tc>
        <w:tc>
          <w:tcPr>
            <w:tcW w:w="139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190825">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包预算（元）</w:t>
            </w:r>
          </w:p>
        </w:tc>
        <w:tc>
          <w:tcPr>
            <w:tcW w:w="14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0CC627">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包最高限价（元）</w:t>
            </w:r>
          </w:p>
        </w:tc>
        <w:tc>
          <w:tcPr>
            <w:tcW w:w="14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700777">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shd w:val="clear" w:fill="FFFFFF"/>
              </w:rPr>
            </w:pPr>
            <w:r>
              <w:rPr>
                <w:spacing w:val="-3"/>
                <w:sz w:val="24"/>
                <w:szCs w:val="24"/>
                <w:highlight w:val="none"/>
              </w:rPr>
              <w:t>是否专门面</w:t>
            </w:r>
            <w:r>
              <w:rPr>
                <w:sz w:val="24"/>
                <w:szCs w:val="24"/>
                <w:highlight w:val="none"/>
              </w:rPr>
              <w:t xml:space="preserve"> </w:t>
            </w:r>
            <w:r>
              <w:rPr>
                <w:spacing w:val="-7"/>
                <w:sz w:val="24"/>
                <w:szCs w:val="24"/>
                <w:highlight w:val="none"/>
              </w:rPr>
              <w:t>向中小企业</w:t>
            </w:r>
          </w:p>
        </w:tc>
        <w:tc>
          <w:tcPr>
            <w:tcW w:w="138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18036A">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shd w:val="clear" w:fill="FFFFFF"/>
              </w:rPr>
            </w:pPr>
            <w:r>
              <w:rPr>
                <w:spacing w:val="-3"/>
                <w:sz w:val="24"/>
                <w:szCs w:val="24"/>
                <w:highlight w:val="none"/>
              </w:rPr>
              <w:t>采购预留</w:t>
            </w:r>
            <w:r>
              <w:rPr>
                <w:spacing w:val="1"/>
                <w:sz w:val="24"/>
                <w:szCs w:val="24"/>
                <w:highlight w:val="none"/>
              </w:rPr>
              <w:t xml:space="preserve">  </w:t>
            </w:r>
            <w:r>
              <w:rPr>
                <w:spacing w:val="-6"/>
                <w:sz w:val="24"/>
                <w:szCs w:val="24"/>
                <w:highlight w:val="none"/>
              </w:rPr>
              <w:t>金额（元）</w:t>
            </w:r>
          </w:p>
        </w:tc>
      </w:tr>
      <w:tr w14:paraId="19DC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2" w:hRule="atLeast"/>
          <w:tblCellSpacing w:w="15" w:type="dxa"/>
          <w:jc w:val="center"/>
        </w:trPr>
        <w:tc>
          <w:tcPr>
            <w:tcW w:w="7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E85EB1">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1</w:t>
            </w:r>
          </w:p>
        </w:tc>
        <w:tc>
          <w:tcPr>
            <w:tcW w:w="14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F42E09">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沁公资采购H2024-0</w:t>
            </w:r>
            <w:r>
              <w:rPr>
                <w:rFonts w:hint="eastAsia" w:asciiTheme="minorEastAsia" w:hAnsiTheme="minorEastAsia" w:cstheme="minorEastAsia"/>
                <w:color w:val="auto"/>
                <w:sz w:val="24"/>
                <w:szCs w:val="24"/>
                <w:highlight w:val="none"/>
                <w:lang w:val="en-US" w:eastAsia="zh-CN"/>
              </w:rPr>
              <w:t>45</w:t>
            </w:r>
            <w:r>
              <w:rPr>
                <w:rFonts w:hint="eastAsia" w:asciiTheme="minorEastAsia" w:hAnsiTheme="minorEastAsia" w:eastAsiaTheme="minorEastAsia" w:cstheme="minorEastAsia"/>
                <w:color w:val="auto"/>
                <w:sz w:val="24"/>
                <w:szCs w:val="24"/>
                <w:highlight w:val="none"/>
                <w:lang w:val="en-US" w:eastAsia="zh-CN"/>
              </w:rPr>
              <w:t>号</w:t>
            </w:r>
            <w:r>
              <w:rPr>
                <w:rFonts w:hint="eastAsia" w:asciiTheme="minorEastAsia" w:hAnsiTheme="minorEastAsia" w:cstheme="minorEastAsia"/>
                <w:color w:val="auto"/>
                <w:sz w:val="24"/>
                <w:szCs w:val="24"/>
                <w:highlight w:val="none"/>
                <w:lang w:val="en-US" w:eastAsia="zh-CN"/>
              </w:rPr>
              <w:t>-1</w:t>
            </w:r>
          </w:p>
        </w:tc>
        <w:tc>
          <w:tcPr>
            <w:tcW w:w="244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37750D">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shd w:val="clear" w:fill="FFFFFF"/>
                <w:lang w:val="en-US" w:eastAsia="zh-CN"/>
              </w:rPr>
              <w:t>沁阳市农业技术推广中心沁阳市农作物重大病虫害防控项目（二次）</w:t>
            </w:r>
          </w:p>
        </w:tc>
        <w:tc>
          <w:tcPr>
            <w:tcW w:w="13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2F2564">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cstheme="minorEastAsia"/>
                <w:color w:val="auto"/>
                <w:sz w:val="24"/>
                <w:szCs w:val="24"/>
                <w:highlight w:val="none"/>
                <w:shd w:val="clear" w:fill="FFFFFF"/>
                <w:lang w:val="en-US" w:eastAsia="zh-CN"/>
              </w:rPr>
              <w:t>339300.00</w:t>
            </w:r>
          </w:p>
        </w:tc>
        <w:tc>
          <w:tcPr>
            <w:tcW w:w="14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9A886A">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cstheme="minorEastAsia"/>
                <w:color w:val="auto"/>
                <w:sz w:val="24"/>
                <w:szCs w:val="24"/>
                <w:highlight w:val="none"/>
                <w:shd w:val="clear" w:fill="FFFFFF"/>
                <w:lang w:val="en-US" w:eastAsia="zh-CN"/>
              </w:rPr>
              <w:t>339300.00</w:t>
            </w:r>
          </w:p>
        </w:tc>
        <w:tc>
          <w:tcPr>
            <w:tcW w:w="14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7213A2">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是</w:t>
            </w:r>
          </w:p>
        </w:tc>
        <w:tc>
          <w:tcPr>
            <w:tcW w:w="13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D4F8E0">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339300.00</w:t>
            </w:r>
          </w:p>
        </w:tc>
      </w:tr>
    </w:tbl>
    <w:p w14:paraId="548CEAD1">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shd w:val="clear" w:fill="FFFFFF"/>
        </w:rPr>
        <w:t>5、采购需求</w:t>
      </w:r>
      <w:r>
        <w:rPr>
          <w:rFonts w:hint="eastAsia" w:asciiTheme="minorEastAsia" w:hAnsiTheme="minorEastAsia" w:cstheme="minorEastAsia"/>
          <w:color w:val="auto"/>
          <w:sz w:val="24"/>
          <w:szCs w:val="24"/>
          <w:highlight w:val="none"/>
          <w:shd w:val="clear" w:fill="FFFFFF"/>
          <w:lang w:eastAsia="zh-CN"/>
        </w:rPr>
        <w:t>：</w:t>
      </w:r>
      <w:r>
        <w:rPr>
          <w:rFonts w:hint="eastAsia" w:eastAsia="宋体" w:cs="宋体"/>
          <w:color w:val="auto"/>
          <w:szCs w:val="24"/>
          <w:highlight w:val="none"/>
          <w:lang w:val="en-US" w:eastAsia="zh-CN"/>
        </w:rPr>
        <w:t>采购一批小麦拌种剂</w:t>
      </w:r>
      <w:r>
        <w:rPr>
          <w:rFonts w:hint="eastAsia" w:ascii="宋体" w:cs="宋体"/>
          <w:color w:val="auto"/>
          <w:highlight w:val="none"/>
          <w:shd w:val="clear" w:color="auto" w:fill="FFFFFF"/>
          <w:lang w:eastAsia="zh-CN" w:bidi="ar-SA"/>
        </w:rPr>
        <w:t>（</w:t>
      </w:r>
      <w:r>
        <w:rPr>
          <w:rFonts w:hint="eastAsia" w:ascii="宋体" w:cs="宋体"/>
          <w:color w:val="auto"/>
          <w:highlight w:val="none"/>
          <w:shd w:val="clear" w:color="auto" w:fill="FFFFFF"/>
          <w:lang w:val="en-US" w:eastAsia="zh-CN" w:bidi="ar-SA"/>
        </w:rPr>
        <w:t>详见询价文件</w:t>
      </w:r>
      <w:r>
        <w:rPr>
          <w:rFonts w:hint="eastAsia" w:ascii="宋体" w:cs="宋体"/>
          <w:color w:val="auto"/>
          <w:highlight w:val="none"/>
          <w:shd w:val="clear" w:color="auto" w:fill="FFFFFF"/>
          <w:lang w:eastAsia="zh-CN" w:bidi="ar-SA"/>
        </w:rPr>
        <w:t>）</w:t>
      </w:r>
    </w:p>
    <w:p w14:paraId="609680BB">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shd w:val="clear" w:fill="FFFFFF"/>
          <w:lang w:val="en-US" w:eastAsia="zh-CN"/>
        </w:rPr>
        <w:t>6、</w:t>
      </w:r>
      <w:r>
        <w:rPr>
          <w:rFonts w:hint="eastAsia" w:asciiTheme="minorEastAsia" w:hAnsiTheme="minorEastAsia" w:eastAsiaTheme="minorEastAsia" w:cstheme="minorEastAsia"/>
          <w:color w:val="auto"/>
          <w:sz w:val="24"/>
          <w:szCs w:val="24"/>
          <w:highlight w:val="none"/>
          <w:shd w:val="clear" w:fill="FFFFFF"/>
        </w:rPr>
        <w:t>合同履行期限：</w:t>
      </w:r>
      <w:r>
        <w:rPr>
          <w:rFonts w:hint="eastAsia" w:asciiTheme="minorEastAsia" w:hAnsiTheme="minorEastAsia" w:eastAsiaTheme="minorEastAsia" w:cstheme="minorEastAsia"/>
          <w:color w:val="auto"/>
          <w:sz w:val="24"/>
          <w:szCs w:val="24"/>
          <w:highlight w:val="none"/>
          <w:shd w:val="clear" w:fill="FFFFFF"/>
          <w:lang w:val="en-US" w:eastAsia="zh-CN"/>
        </w:rPr>
        <w:t>合同签订</w:t>
      </w:r>
      <w:r>
        <w:rPr>
          <w:rFonts w:hint="eastAsia" w:asciiTheme="minorEastAsia" w:hAnsiTheme="minorEastAsia" w:cstheme="minorEastAsia"/>
          <w:color w:val="auto"/>
          <w:sz w:val="24"/>
          <w:szCs w:val="24"/>
          <w:highlight w:val="none"/>
          <w:shd w:val="clear" w:fill="FFFFFF"/>
          <w:lang w:val="en-US" w:eastAsia="zh-CN"/>
        </w:rPr>
        <w:t>后20</w:t>
      </w:r>
      <w:r>
        <w:rPr>
          <w:rFonts w:hint="eastAsia" w:asciiTheme="minorEastAsia" w:hAnsiTheme="minorEastAsia" w:eastAsiaTheme="minorEastAsia" w:cstheme="minorEastAsia"/>
          <w:color w:val="auto"/>
          <w:sz w:val="24"/>
          <w:szCs w:val="24"/>
          <w:highlight w:val="none"/>
          <w:shd w:val="clear" w:fill="FFFFFF"/>
          <w:lang w:val="en-US" w:eastAsia="zh-CN"/>
        </w:rPr>
        <w:t>日历天</w:t>
      </w:r>
    </w:p>
    <w:p w14:paraId="6DAC115B">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shd w:val="clear" w:fill="FFFFFF"/>
          <w:lang w:val="en-US" w:eastAsia="zh-CN"/>
        </w:rPr>
        <w:t>7</w:t>
      </w:r>
      <w:r>
        <w:rPr>
          <w:rFonts w:hint="eastAsia" w:asciiTheme="minorEastAsia" w:hAnsiTheme="minorEastAsia" w:eastAsiaTheme="minorEastAsia" w:cstheme="minorEastAsia"/>
          <w:color w:val="auto"/>
          <w:sz w:val="24"/>
          <w:szCs w:val="24"/>
          <w:highlight w:val="none"/>
          <w:shd w:val="clear" w:fill="FFFFFF"/>
        </w:rPr>
        <w:t>、本项目是否接受联合体投标：否</w:t>
      </w:r>
    </w:p>
    <w:p w14:paraId="07C0BDA7">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shd w:val="clear" w:fill="FFFFFF"/>
          <w:lang w:val="en-US" w:eastAsia="zh-CN"/>
        </w:rPr>
        <w:t>8</w:t>
      </w:r>
      <w:r>
        <w:rPr>
          <w:rFonts w:hint="eastAsia" w:asciiTheme="minorEastAsia" w:hAnsiTheme="minorEastAsia" w:eastAsiaTheme="minorEastAsia" w:cstheme="minorEastAsia"/>
          <w:color w:val="auto"/>
          <w:sz w:val="24"/>
          <w:szCs w:val="24"/>
          <w:highlight w:val="none"/>
          <w:shd w:val="clear" w:fill="FFFFFF"/>
        </w:rPr>
        <w:t>、是否接受进口产品：否</w:t>
      </w:r>
    </w:p>
    <w:p w14:paraId="61CA7F4F">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shd w:val="clear" w:fill="FFFFFF"/>
          <w:lang w:val="en-US" w:eastAsia="zh-CN"/>
        </w:rPr>
        <w:t>9</w:t>
      </w:r>
      <w:r>
        <w:rPr>
          <w:rFonts w:hint="eastAsia" w:asciiTheme="minorEastAsia" w:hAnsiTheme="minorEastAsia" w:eastAsiaTheme="minorEastAsia" w:cstheme="minorEastAsia"/>
          <w:color w:val="auto"/>
          <w:sz w:val="24"/>
          <w:szCs w:val="24"/>
          <w:highlight w:val="none"/>
          <w:shd w:val="clear" w:fill="FFFFFF"/>
        </w:rPr>
        <w:t>、</w:t>
      </w:r>
      <w:r>
        <w:rPr>
          <w:rFonts w:hint="eastAsia" w:asciiTheme="minorEastAsia" w:hAnsiTheme="minorEastAsia" w:eastAsiaTheme="minorEastAsia" w:cstheme="minorEastAsia"/>
          <w:color w:val="auto"/>
          <w:sz w:val="24"/>
          <w:szCs w:val="24"/>
          <w:highlight w:val="none"/>
          <w:shd w:val="clear" w:fill="FFFFFF"/>
          <w:lang w:val="en-US" w:eastAsia="zh-CN"/>
        </w:rPr>
        <w:t>是否专门面向中小企业：</w:t>
      </w:r>
      <w:r>
        <w:rPr>
          <w:rFonts w:hint="eastAsia" w:asciiTheme="minorEastAsia" w:hAnsiTheme="minorEastAsia" w:cstheme="minorEastAsia"/>
          <w:color w:val="auto"/>
          <w:sz w:val="24"/>
          <w:szCs w:val="24"/>
          <w:highlight w:val="none"/>
          <w:shd w:val="clear" w:fill="FFFFFF"/>
          <w:lang w:val="en-US" w:eastAsia="zh-CN"/>
        </w:rPr>
        <w:t>是</w:t>
      </w:r>
      <w:r>
        <w:rPr>
          <w:rFonts w:hint="eastAsia" w:asciiTheme="minorEastAsia" w:hAnsiTheme="minorEastAsia" w:eastAsiaTheme="minorEastAsia" w:cstheme="minorEastAsia"/>
          <w:color w:val="auto"/>
          <w:sz w:val="24"/>
          <w:szCs w:val="24"/>
          <w:highlight w:val="none"/>
          <w:shd w:val="clear" w:fill="FFFFFF"/>
          <w:lang w:val="en-US" w:eastAsia="zh-CN"/>
        </w:rPr>
        <w:t xml:space="preserve"> </w:t>
      </w:r>
    </w:p>
    <w:p w14:paraId="78A05A90">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二、申请人资格要求：</w:t>
      </w:r>
    </w:p>
    <w:p w14:paraId="546A9CA8">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right="-120" w:firstLine="240" w:firstLineChars="100"/>
        <w:jc w:val="left"/>
        <w:textAlignment w:val="auto"/>
        <w:rPr>
          <w:rFonts w:hint="eastAsia" w:asciiTheme="minorEastAsia" w:hAnsiTheme="minorEastAsia" w:eastAsiaTheme="minorEastAsia" w:cstheme="minorEastAsia"/>
          <w:color w:val="auto"/>
          <w:sz w:val="24"/>
          <w:szCs w:val="24"/>
          <w:highlight w:val="none"/>
          <w:shd w:val="clear" w:fill="FFFFFF"/>
        </w:rPr>
      </w:pPr>
      <w:r>
        <w:rPr>
          <w:rFonts w:hint="eastAsia" w:asciiTheme="minorEastAsia" w:hAnsiTheme="minorEastAsia" w:eastAsiaTheme="minorEastAsia" w:cstheme="minorEastAsia"/>
          <w:color w:val="auto"/>
          <w:sz w:val="24"/>
          <w:szCs w:val="24"/>
          <w:highlight w:val="none"/>
          <w:shd w:val="clear" w:fill="FFFFFF"/>
        </w:rPr>
        <w:t>1</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满足《中华人民共和国政府采购法》第二十二条规定；</w:t>
      </w:r>
    </w:p>
    <w:p w14:paraId="1283541F">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rPr>
      </w:pPr>
      <w:r>
        <w:rPr>
          <w:rFonts w:hint="eastAsia" w:asciiTheme="minorEastAsia" w:hAnsiTheme="minorEastAsia" w:eastAsiaTheme="minorEastAsia" w:cstheme="minorEastAsia"/>
          <w:color w:val="auto"/>
          <w:sz w:val="24"/>
          <w:szCs w:val="24"/>
          <w:highlight w:val="none"/>
          <w:shd w:val="clear" w:fill="FFFFFF"/>
        </w:rPr>
        <w:t>2</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落实政府采购政策满足的资格要求：本项目专门面向中小企业采购。促进中小企业和 监狱企业发展扶持政策、政府强制采购节能产品强制采购、节能产品及环境标志产品优先采 购、促进残疾人就业政府采购政策；</w:t>
      </w:r>
    </w:p>
    <w:p w14:paraId="0C77B488">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w:t>
      </w:r>
      <w:r>
        <w:rPr>
          <w:rFonts w:hint="eastAsia" w:asciiTheme="minorEastAsia" w:hAnsiTheme="minorEastAsia" w:cstheme="minorEastAsia"/>
          <w:color w:val="auto"/>
          <w:sz w:val="24"/>
          <w:szCs w:val="24"/>
          <w:highlight w:val="none"/>
          <w:shd w:val="clear" w:fill="FFFFFF"/>
          <w:lang w:val="en-US" w:eastAsia="zh-CN"/>
        </w:rPr>
        <w:t>、</w:t>
      </w:r>
      <w:r>
        <w:rPr>
          <w:rFonts w:hint="eastAsia" w:asciiTheme="minorEastAsia" w:hAnsiTheme="minorEastAsia" w:eastAsiaTheme="minorEastAsia" w:cstheme="minorEastAsia"/>
          <w:color w:val="auto"/>
          <w:sz w:val="24"/>
          <w:szCs w:val="24"/>
          <w:highlight w:val="none"/>
          <w:shd w:val="clear" w:fill="FFFFFF"/>
          <w:lang w:val="en-US" w:eastAsia="zh-CN"/>
        </w:rPr>
        <w:t>本项目的特定资格要求：</w:t>
      </w:r>
    </w:p>
    <w:p w14:paraId="538AC790">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3.1提供沁阳市政府采购供应商资格信用承诺函；</w:t>
      </w:r>
    </w:p>
    <w:p w14:paraId="7FF45156">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3.2供应商为生产企业的须提供农药产品三证（农药登记证、产品质量标准证、农药生产许可证或者农药生产批准文件）；供应商为经销商的须提供在有效期内的农药经营许可证，所投产品生产企业的农药产品三证（农药登记证、产品质量标准证、农药生产许可证）；农药登记作物适用作物必须包含小麦；</w:t>
      </w:r>
    </w:p>
    <w:p w14:paraId="21CDDDAD">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3.3按照《财政部关于在政府采购活动中查询及使用信用记录有关问题的通知》（财库〔2016〕125号）的要求，根据开标当日采购代理机构查询“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Theme="minorEastAsia" w:hAnsiTheme="minorEastAsia" w:cstheme="minorEastAsia"/>
          <w:color w:val="auto"/>
          <w:sz w:val="24"/>
          <w:szCs w:val="24"/>
          <w:highlight w:val="none"/>
          <w:shd w:val="clear" w:fill="FFFFFF"/>
          <w:lang w:val="en-US" w:eastAsia="zh-CN"/>
        </w:rPr>
        <w:t>；</w:t>
      </w:r>
      <w:r>
        <w:rPr>
          <w:rFonts w:hint="eastAsia" w:cs="宋体" w:eastAsiaTheme="minorEastAsia"/>
          <w:color w:val="auto"/>
          <w:kern w:val="2"/>
          <w:sz w:val="24"/>
          <w:szCs w:val="24"/>
          <w:highlight w:val="none"/>
          <w:lang w:val="en-US" w:eastAsia="zh-CN" w:bidi="ar-SA"/>
        </w:rPr>
        <w:t>参与本次采购活动的供应商，其法人代表或主要负责人所在的公司在近三年内没有违法违规行为</w:t>
      </w:r>
      <w:r>
        <w:rPr>
          <w:rFonts w:hint="eastAsia" w:cs="宋体"/>
          <w:color w:val="auto"/>
          <w:kern w:val="2"/>
          <w:sz w:val="24"/>
          <w:szCs w:val="24"/>
          <w:highlight w:val="none"/>
          <w:lang w:val="en-US" w:eastAsia="zh-CN" w:bidi="ar-SA"/>
        </w:rPr>
        <w:t>。</w:t>
      </w:r>
    </w:p>
    <w:p w14:paraId="39BB96A9">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3.4本次采购不接受联合体投标（无需提供任何声明、承诺）；</w:t>
      </w:r>
    </w:p>
    <w:p w14:paraId="4CA9486B">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备注：以上第3.3条由代理公司提供查询结果。</w:t>
      </w:r>
    </w:p>
    <w:p w14:paraId="025F0FF3">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三、获取采购文件</w:t>
      </w:r>
    </w:p>
    <w:p w14:paraId="200EF7CE">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1、时间：</w:t>
      </w:r>
      <w:r>
        <w:rPr>
          <w:rFonts w:hint="eastAsia" w:asciiTheme="minorEastAsia" w:hAnsiTheme="minorEastAsia" w:eastAsiaTheme="minorEastAsia" w:cstheme="minorEastAsia"/>
          <w:color w:val="auto"/>
          <w:sz w:val="24"/>
          <w:szCs w:val="24"/>
          <w:highlight w:val="none"/>
          <w:shd w:val="clear" w:fill="FFFFFF"/>
        </w:rPr>
        <w:t>202</w:t>
      </w:r>
      <w:r>
        <w:rPr>
          <w:rFonts w:hint="eastAsia" w:asciiTheme="minorEastAsia" w:hAnsiTheme="minorEastAsia" w:cstheme="minorEastAsia"/>
          <w:color w:val="auto"/>
          <w:sz w:val="24"/>
          <w:szCs w:val="24"/>
          <w:highlight w:val="none"/>
          <w:shd w:val="clear" w:fill="FFFFFF"/>
          <w:lang w:val="en-US" w:eastAsia="zh-CN"/>
        </w:rPr>
        <w:t>4</w:t>
      </w:r>
      <w:r>
        <w:rPr>
          <w:rFonts w:hint="eastAsia" w:asciiTheme="minorEastAsia" w:hAnsiTheme="minorEastAsia" w:eastAsiaTheme="minorEastAsia" w:cstheme="minorEastAsia"/>
          <w:color w:val="auto"/>
          <w:sz w:val="24"/>
          <w:szCs w:val="24"/>
          <w:highlight w:val="none"/>
          <w:shd w:val="clear" w:fill="FFFFFF"/>
        </w:rPr>
        <w:t>年</w:t>
      </w:r>
      <w:r>
        <w:rPr>
          <w:rFonts w:hint="eastAsia" w:asciiTheme="minorEastAsia" w:hAnsiTheme="minorEastAsia" w:cstheme="minorEastAsia"/>
          <w:color w:val="auto"/>
          <w:sz w:val="24"/>
          <w:szCs w:val="24"/>
          <w:highlight w:val="none"/>
          <w:shd w:val="clear" w:fill="FFFFFF"/>
          <w:lang w:val="en-US" w:eastAsia="zh-CN"/>
        </w:rPr>
        <w:t>09</w:t>
      </w:r>
      <w:r>
        <w:rPr>
          <w:rFonts w:hint="eastAsia" w:asciiTheme="minorEastAsia" w:hAnsiTheme="minorEastAsia" w:eastAsiaTheme="minorEastAsia" w:cstheme="minorEastAsia"/>
          <w:color w:val="auto"/>
          <w:sz w:val="24"/>
          <w:szCs w:val="24"/>
          <w:highlight w:val="none"/>
          <w:shd w:val="clear" w:fill="FFFFFF"/>
        </w:rPr>
        <w:t>月</w:t>
      </w:r>
      <w:r>
        <w:rPr>
          <w:rFonts w:hint="eastAsia" w:asciiTheme="minorEastAsia" w:hAnsiTheme="minorEastAsia" w:cstheme="minorEastAsia"/>
          <w:color w:val="auto"/>
          <w:sz w:val="24"/>
          <w:szCs w:val="24"/>
          <w:highlight w:val="none"/>
          <w:shd w:val="clear" w:fill="FFFFFF"/>
          <w:lang w:val="en-US" w:eastAsia="zh-CN"/>
        </w:rPr>
        <w:t>27</w:t>
      </w:r>
      <w:r>
        <w:rPr>
          <w:rFonts w:hint="eastAsia" w:asciiTheme="minorEastAsia" w:hAnsiTheme="minorEastAsia" w:eastAsiaTheme="minorEastAsia" w:cstheme="minorEastAsia"/>
          <w:color w:val="auto"/>
          <w:sz w:val="24"/>
          <w:szCs w:val="24"/>
          <w:highlight w:val="none"/>
          <w:shd w:val="clear" w:fill="FFFFFF"/>
        </w:rPr>
        <w:t>日</w:t>
      </w:r>
      <w:r>
        <w:rPr>
          <w:rFonts w:hint="eastAsia" w:asciiTheme="minorEastAsia" w:hAnsiTheme="minorEastAsia" w:cstheme="minorEastAsia"/>
          <w:color w:val="auto"/>
          <w:sz w:val="24"/>
          <w:szCs w:val="24"/>
          <w:highlight w:val="none"/>
          <w:shd w:val="clear" w:fill="FFFFFF"/>
          <w:lang w:val="en-US" w:eastAsia="zh-CN"/>
        </w:rPr>
        <w:t>00</w:t>
      </w:r>
      <w:r>
        <w:rPr>
          <w:rFonts w:hint="eastAsia" w:asciiTheme="minorEastAsia" w:hAnsiTheme="minorEastAsia" w:eastAsiaTheme="minorEastAsia" w:cstheme="minorEastAsia"/>
          <w:color w:val="auto"/>
          <w:sz w:val="24"/>
          <w:szCs w:val="24"/>
          <w:highlight w:val="none"/>
          <w:shd w:val="clear" w:fill="FFFFFF"/>
        </w:rPr>
        <w:t>时00分至202</w:t>
      </w:r>
      <w:r>
        <w:rPr>
          <w:rFonts w:hint="eastAsia" w:asciiTheme="minorEastAsia" w:hAnsiTheme="minorEastAsia" w:cstheme="minorEastAsia"/>
          <w:color w:val="auto"/>
          <w:sz w:val="24"/>
          <w:szCs w:val="24"/>
          <w:highlight w:val="none"/>
          <w:shd w:val="clear" w:fill="FFFFFF"/>
          <w:lang w:val="en-US" w:eastAsia="zh-CN"/>
        </w:rPr>
        <w:t>4</w:t>
      </w:r>
      <w:r>
        <w:rPr>
          <w:rFonts w:hint="eastAsia" w:asciiTheme="minorEastAsia" w:hAnsiTheme="minorEastAsia" w:eastAsiaTheme="minorEastAsia" w:cstheme="minorEastAsia"/>
          <w:color w:val="auto"/>
          <w:sz w:val="24"/>
          <w:szCs w:val="24"/>
          <w:highlight w:val="none"/>
          <w:shd w:val="clear" w:fill="FFFFFF"/>
        </w:rPr>
        <w:t>年</w:t>
      </w:r>
      <w:r>
        <w:rPr>
          <w:rFonts w:hint="eastAsia" w:asciiTheme="minorEastAsia" w:hAnsiTheme="minorEastAsia" w:cstheme="minorEastAsia"/>
          <w:color w:val="auto"/>
          <w:sz w:val="24"/>
          <w:szCs w:val="24"/>
          <w:highlight w:val="none"/>
          <w:shd w:val="clear" w:fill="FFFFFF"/>
          <w:lang w:val="en-US" w:eastAsia="zh-CN"/>
        </w:rPr>
        <w:t>09</w:t>
      </w:r>
      <w:r>
        <w:rPr>
          <w:rFonts w:hint="eastAsia" w:asciiTheme="minorEastAsia" w:hAnsiTheme="minorEastAsia" w:eastAsiaTheme="minorEastAsia" w:cstheme="minorEastAsia"/>
          <w:color w:val="auto"/>
          <w:sz w:val="24"/>
          <w:szCs w:val="24"/>
          <w:highlight w:val="none"/>
          <w:shd w:val="clear" w:fill="FFFFFF"/>
        </w:rPr>
        <w:t>月</w:t>
      </w:r>
      <w:r>
        <w:rPr>
          <w:rFonts w:hint="eastAsia" w:asciiTheme="minorEastAsia" w:hAnsiTheme="minorEastAsia" w:cstheme="minorEastAsia"/>
          <w:color w:val="auto"/>
          <w:sz w:val="24"/>
          <w:szCs w:val="24"/>
          <w:highlight w:val="none"/>
          <w:shd w:val="clear" w:fill="FFFFFF"/>
          <w:lang w:val="en-US" w:eastAsia="zh-CN"/>
        </w:rPr>
        <w:t>30</w:t>
      </w:r>
      <w:r>
        <w:rPr>
          <w:rFonts w:hint="eastAsia" w:asciiTheme="minorEastAsia" w:hAnsiTheme="minorEastAsia" w:eastAsiaTheme="minorEastAsia" w:cstheme="minorEastAsia"/>
          <w:color w:val="auto"/>
          <w:sz w:val="24"/>
          <w:szCs w:val="24"/>
          <w:highlight w:val="none"/>
          <w:shd w:val="clear" w:fill="FFFFFF"/>
        </w:rPr>
        <w:t>日</w:t>
      </w:r>
      <w:r>
        <w:rPr>
          <w:rFonts w:hint="eastAsia" w:asciiTheme="minorEastAsia" w:hAnsiTheme="minorEastAsia" w:cstheme="minorEastAsia"/>
          <w:color w:val="auto"/>
          <w:sz w:val="24"/>
          <w:szCs w:val="24"/>
          <w:highlight w:val="none"/>
          <w:shd w:val="clear" w:fill="FFFFFF"/>
          <w:lang w:val="en-US" w:eastAsia="zh-CN"/>
        </w:rPr>
        <w:t>23</w:t>
      </w:r>
      <w:r>
        <w:rPr>
          <w:rFonts w:hint="eastAsia" w:asciiTheme="minorEastAsia" w:hAnsiTheme="minorEastAsia" w:eastAsiaTheme="minorEastAsia" w:cstheme="minorEastAsia"/>
          <w:color w:val="auto"/>
          <w:sz w:val="24"/>
          <w:szCs w:val="24"/>
          <w:highlight w:val="none"/>
          <w:shd w:val="clear" w:fill="FFFFFF"/>
        </w:rPr>
        <w:t>时</w:t>
      </w:r>
      <w:r>
        <w:rPr>
          <w:rFonts w:hint="eastAsia" w:asciiTheme="minorEastAsia" w:hAnsiTheme="minorEastAsia" w:cstheme="minorEastAsia"/>
          <w:color w:val="auto"/>
          <w:sz w:val="24"/>
          <w:szCs w:val="24"/>
          <w:highlight w:val="none"/>
          <w:shd w:val="clear" w:fill="FFFFFF"/>
          <w:lang w:val="en-US" w:eastAsia="zh-CN"/>
        </w:rPr>
        <w:t>59</w:t>
      </w:r>
      <w:r>
        <w:rPr>
          <w:rFonts w:hint="eastAsia" w:asciiTheme="minorEastAsia" w:hAnsiTheme="minorEastAsia" w:eastAsiaTheme="minorEastAsia" w:cstheme="minorEastAsia"/>
          <w:color w:val="auto"/>
          <w:sz w:val="24"/>
          <w:szCs w:val="24"/>
          <w:highlight w:val="none"/>
          <w:shd w:val="clear" w:fill="FFFFFF"/>
        </w:rPr>
        <w:t>分（北京时间，法定节假日除外）。</w:t>
      </w:r>
    </w:p>
    <w:p w14:paraId="3F35B7CB">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shd w:val="clear" w:fill="FFFFFF"/>
        </w:rPr>
        <w:t>2</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地点：焦作市公共资源交易中心网站会员系统</w:t>
      </w:r>
      <w:r>
        <w:rPr>
          <w:rFonts w:hint="eastAsia" w:asciiTheme="minorEastAsia" w:hAnsiTheme="minorEastAsia" w:cstheme="minorEastAsia"/>
          <w:color w:val="auto"/>
          <w:sz w:val="24"/>
          <w:szCs w:val="24"/>
          <w:highlight w:val="none"/>
          <w:shd w:val="clear" w:fill="FFFFFF"/>
          <w:lang w:eastAsia="zh-CN"/>
        </w:rPr>
        <w:t>。</w:t>
      </w:r>
    </w:p>
    <w:p w14:paraId="5B3EAB33">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3</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方式：本项目采用网上获取询价文件，凡有意参加投标者，请登陆焦作市公共资源交易中心网站会员系统进行网上下载询价文件。</w:t>
      </w:r>
    </w:p>
    <w:p w14:paraId="691E4ECE">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rPr>
      </w:pPr>
      <w:r>
        <w:rPr>
          <w:rFonts w:hint="eastAsia" w:asciiTheme="minorEastAsia" w:hAnsiTheme="minorEastAsia" w:eastAsiaTheme="minorEastAsia" w:cstheme="minorEastAsia"/>
          <w:color w:val="auto"/>
          <w:sz w:val="24"/>
          <w:szCs w:val="24"/>
          <w:highlight w:val="none"/>
          <w:shd w:val="clear" w:fill="FFFFFF"/>
        </w:rPr>
        <w:t>4</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售价：0元。</w:t>
      </w:r>
    </w:p>
    <w:p w14:paraId="360CC6E7">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四、响应文件提交时间：</w:t>
      </w:r>
    </w:p>
    <w:p w14:paraId="0EFCA018">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1</w:t>
      </w:r>
      <w:r>
        <w:rPr>
          <w:rFonts w:hint="eastAsia" w:asciiTheme="minorEastAsia" w:hAnsiTheme="minorEastAsia" w:cstheme="minorEastAsia"/>
          <w:color w:val="auto"/>
          <w:sz w:val="24"/>
          <w:szCs w:val="24"/>
          <w:highlight w:val="none"/>
          <w:shd w:val="clear" w:fill="FFFFFF"/>
          <w:lang w:eastAsia="zh-CN"/>
        </w:rPr>
        <w:t>、截止</w:t>
      </w:r>
      <w:r>
        <w:rPr>
          <w:rFonts w:hint="eastAsia" w:asciiTheme="minorEastAsia" w:hAnsiTheme="minorEastAsia" w:eastAsiaTheme="minorEastAsia" w:cstheme="minorEastAsia"/>
          <w:color w:val="auto"/>
          <w:sz w:val="24"/>
          <w:szCs w:val="24"/>
          <w:highlight w:val="none"/>
          <w:shd w:val="clear" w:fill="FFFFFF"/>
        </w:rPr>
        <w:t>时间：202</w:t>
      </w:r>
      <w:r>
        <w:rPr>
          <w:rFonts w:hint="eastAsia" w:asciiTheme="minorEastAsia" w:hAnsiTheme="minorEastAsia" w:cstheme="minorEastAsia"/>
          <w:color w:val="auto"/>
          <w:sz w:val="24"/>
          <w:szCs w:val="24"/>
          <w:highlight w:val="none"/>
          <w:shd w:val="clear" w:fill="FFFFFF"/>
          <w:lang w:val="en-US" w:eastAsia="zh-CN"/>
        </w:rPr>
        <w:t>4</w:t>
      </w:r>
      <w:r>
        <w:rPr>
          <w:rFonts w:hint="eastAsia" w:asciiTheme="minorEastAsia" w:hAnsiTheme="minorEastAsia" w:eastAsiaTheme="minorEastAsia" w:cstheme="minorEastAsia"/>
          <w:color w:val="auto"/>
          <w:sz w:val="24"/>
          <w:szCs w:val="24"/>
          <w:highlight w:val="none"/>
          <w:shd w:val="clear" w:fill="FFFFFF"/>
        </w:rPr>
        <w:t>年</w:t>
      </w:r>
      <w:r>
        <w:rPr>
          <w:rFonts w:hint="eastAsia" w:asciiTheme="minorEastAsia" w:hAnsiTheme="minorEastAsia" w:cstheme="minorEastAsia"/>
          <w:color w:val="auto"/>
          <w:sz w:val="24"/>
          <w:szCs w:val="24"/>
          <w:highlight w:val="none"/>
          <w:shd w:val="clear" w:fill="FFFFFF"/>
          <w:lang w:val="en-US" w:eastAsia="zh-CN"/>
        </w:rPr>
        <w:t>10</w:t>
      </w:r>
      <w:r>
        <w:rPr>
          <w:rFonts w:hint="eastAsia" w:asciiTheme="minorEastAsia" w:hAnsiTheme="minorEastAsia" w:eastAsiaTheme="minorEastAsia" w:cstheme="minorEastAsia"/>
          <w:color w:val="auto"/>
          <w:sz w:val="24"/>
          <w:szCs w:val="24"/>
          <w:highlight w:val="none"/>
          <w:shd w:val="clear" w:fill="FFFFFF"/>
        </w:rPr>
        <w:t>月</w:t>
      </w:r>
      <w:r>
        <w:rPr>
          <w:rFonts w:hint="eastAsia" w:asciiTheme="minorEastAsia" w:hAnsiTheme="minorEastAsia" w:cstheme="minorEastAsia"/>
          <w:color w:val="auto"/>
          <w:sz w:val="24"/>
          <w:szCs w:val="24"/>
          <w:highlight w:val="none"/>
          <w:shd w:val="clear" w:fill="FFFFFF"/>
          <w:lang w:val="en-US" w:eastAsia="zh-CN"/>
        </w:rPr>
        <w:t>08</w:t>
      </w:r>
      <w:r>
        <w:rPr>
          <w:rFonts w:hint="eastAsia" w:asciiTheme="minorEastAsia" w:hAnsiTheme="minorEastAsia" w:eastAsiaTheme="minorEastAsia" w:cstheme="minorEastAsia"/>
          <w:color w:val="auto"/>
          <w:sz w:val="24"/>
          <w:szCs w:val="24"/>
          <w:highlight w:val="none"/>
          <w:shd w:val="clear" w:fill="FFFFFF"/>
        </w:rPr>
        <w:t>日</w:t>
      </w:r>
      <w:r>
        <w:rPr>
          <w:rFonts w:hint="eastAsia" w:asciiTheme="minorEastAsia" w:hAnsiTheme="minorEastAsia" w:cstheme="minorEastAsia"/>
          <w:color w:val="auto"/>
          <w:sz w:val="24"/>
          <w:szCs w:val="24"/>
          <w:highlight w:val="none"/>
          <w:shd w:val="clear" w:fill="FFFFFF"/>
          <w:lang w:val="en-US" w:eastAsia="zh-CN"/>
        </w:rPr>
        <w:t>08</w:t>
      </w:r>
      <w:r>
        <w:rPr>
          <w:rFonts w:hint="eastAsia" w:asciiTheme="minorEastAsia" w:hAnsiTheme="minorEastAsia" w:eastAsiaTheme="minorEastAsia" w:cstheme="minorEastAsia"/>
          <w:color w:val="auto"/>
          <w:sz w:val="24"/>
          <w:szCs w:val="24"/>
          <w:highlight w:val="none"/>
          <w:shd w:val="clear" w:fill="FFFFFF"/>
        </w:rPr>
        <w:t>时</w:t>
      </w:r>
      <w:r>
        <w:rPr>
          <w:rFonts w:hint="eastAsia" w:asciiTheme="minorEastAsia" w:hAnsiTheme="minorEastAsia" w:cstheme="minorEastAsia"/>
          <w:color w:val="auto"/>
          <w:sz w:val="24"/>
          <w:szCs w:val="24"/>
          <w:highlight w:val="none"/>
          <w:shd w:val="clear" w:fill="FFFFFF"/>
          <w:lang w:val="en-US" w:eastAsia="zh-CN"/>
        </w:rPr>
        <w:t>3</w:t>
      </w:r>
      <w:r>
        <w:rPr>
          <w:rFonts w:hint="eastAsia" w:asciiTheme="minorEastAsia" w:hAnsiTheme="minorEastAsia" w:eastAsiaTheme="minorEastAsia" w:cstheme="minorEastAsia"/>
          <w:color w:val="auto"/>
          <w:sz w:val="24"/>
          <w:szCs w:val="24"/>
          <w:highlight w:val="none"/>
          <w:shd w:val="clear" w:fill="FFFFFF"/>
        </w:rPr>
        <w:t>0分（北京时间）</w:t>
      </w:r>
    </w:p>
    <w:p w14:paraId="2ABBC00B">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rPr>
      </w:pPr>
      <w:r>
        <w:rPr>
          <w:rFonts w:hint="eastAsia" w:asciiTheme="minorEastAsia" w:hAnsiTheme="minorEastAsia" w:eastAsiaTheme="minorEastAsia" w:cstheme="minorEastAsia"/>
          <w:color w:val="auto"/>
          <w:sz w:val="24"/>
          <w:szCs w:val="24"/>
          <w:highlight w:val="none"/>
          <w:shd w:val="clear" w:fill="FFFFFF"/>
        </w:rPr>
        <w:t>2</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地点：沁阳市公共资源交易中心</w:t>
      </w:r>
      <w:r>
        <w:rPr>
          <w:rFonts w:hint="eastAsia" w:asciiTheme="minorEastAsia" w:hAnsiTheme="minorEastAsia" w:cstheme="minorEastAsia"/>
          <w:color w:val="auto"/>
          <w:sz w:val="24"/>
          <w:szCs w:val="24"/>
          <w:highlight w:val="none"/>
          <w:shd w:val="clear" w:fill="FFFFFF"/>
          <w:lang w:val="en-US" w:eastAsia="zh-CN"/>
        </w:rPr>
        <w:t>二楼</w:t>
      </w:r>
      <w:r>
        <w:rPr>
          <w:rFonts w:hint="eastAsia" w:asciiTheme="minorEastAsia" w:hAnsiTheme="minorEastAsia" w:eastAsiaTheme="minorEastAsia" w:cstheme="minorEastAsia"/>
          <w:color w:val="auto"/>
          <w:sz w:val="24"/>
          <w:szCs w:val="24"/>
          <w:highlight w:val="none"/>
          <w:shd w:val="clear" w:fill="FFFFFF"/>
        </w:rPr>
        <w:t>开标室</w:t>
      </w:r>
    </w:p>
    <w:p w14:paraId="6DBB403B">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五、响应文件开启时间：</w:t>
      </w:r>
    </w:p>
    <w:p w14:paraId="020F3A08">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1</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时间：202</w:t>
      </w:r>
      <w:r>
        <w:rPr>
          <w:rFonts w:hint="eastAsia" w:asciiTheme="minorEastAsia" w:hAnsiTheme="minorEastAsia" w:cstheme="minorEastAsia"/>
          <w:color w:val="auto"/>
          <w:sz w:val="24"/>
          <w:szCs w:val="24"/>
          <w:highlight w:val="none"/>
          <w:shd w:val="clear" w:fill="FFFFFF"/>
          <w:lang w:val="en-US" w:eastAsia="zh-CN"/>
        </w:rPr>
        <w:t>4</w:t>
      </w:r>
      <w:r>
        <w:rPr>
          <w:rFonts w:hint="eastAsia" w:asciiTheme="minorEastAsia" w:hAnsiTheme="minorEastAsia" w:eastAsiaTheme="minorEastAsia" w:cstheme="minorEastAsia"/>
          <w:color w:val="auto"/>
          <w:sz w:val="24"/>
          <w:szCs w:val="24"/>
          <w:highlight w:val="none"/>
          <w:shd w:val="clear" w:fill="FFFFFF"/>
        </w:rPr>
        <w:t>年</w:t>
      </w:r>
      <w:r>
        <w:rPr>
          <w:rFonts w:hint="eastAsia" w:asciiTheme="minorEastAsia" w:hAnsiTheme="minorEastAsia" w:cstheme="minorEastAsia"/>
          <w:color w:val="auto"/>
          <w:sz w:val="24"/>
          <w:szCs w:val="24"/>
          <w:highlight w:val="none"/>
          <w:shd w:val="clear" w:fill="FFFFFF"/>
          <w:lang w:val="en-US" w:eastAsia="zh-CN"/>
        </w:rPr>
        <w:t>10</w:t>
      </w:r>
      <w:r>
        <w:rPr>
          <w:rFonts w:hint="eastAsia" w:asciiTheme="minorEastAsia" w:hAnsiTheme="minorEastAsia" w:eastAsiaTheme="minorEastAsia" w:cstheme="minorEastAsia"/>
          <w:color w:val="auto"/>
          <w:sz w:val="24"/>
          <w:szCs w:val="24"/>
          <w:highlight w:val="none"/>
          <w:shd w:val="clear" w:fill="FFFFFF"/>
        </w:rPr>
        <w:t>月</w:t>
      </w:r>
      <w:r>
        <w:rPr>
          <w:rFonts w:hint="eastAsia" w:asciiTheme="minorEastAsia" w:hAnsiTheme="minorEastAsia" w:cstheme="minorEastAsia"/>
          <w:color w:val="auto"/>
          <w:sz w:val="24"/>
          <w:szCs w:val="24"/>
          <w:highlight w:val="none"/>
          <w:shd w:val="clear" w:fill="FFFFFF"/>
          <w:lang w:val="en-US" w:eastAsia="zh-CN"/>
        </w:rPr>
        <w:t>08</w:t>
      </w:r>
      <w:r>
        <w:rPr>
          <w:rFonts w:hint="eastAsia" w:asciiTheme="minorEastAsia" w:hAnsiTheme="minorEastAsia" w:eastAsiaTheme="minorEastAsia" w:cstheme="minorEastAsia"/>
          <w:color w:val="auto"/>
          <w:sz w:val="24"/>
          <w:szCs w:val="24"/>
          <w:highlight w:val="none"/>
          <w:shd w:val="clear" w:fill="FFFFFF"/>
        </w:rPr>
        <w:t>日</w:t>
      </w:r>
      <w:r>
        <w:rPr>
          <w:rFonts w:hint="eastAsia" w:asciiTheme="minorEastAsia" w:hAnsiTheme="minorEastAsia" w:cstheme="minorEastAsia"/>
          <w:color w:val="auto"/>
          <w:sz w:val="24"/>
          <w:szCs w:val="24"/>
          <w:highlight w:val="none"/>
          <w:shd w:val="clear" w:fill="FFFFFF"/>
          <w:lang w:eastAsia="zh-CN"/>
        </w:rPr>
        <w:t>08时30分</w:t>
      </w:r>
      <w:r>
        <w:rPr>
          <w:rFonts w:hint="eastAsia" w:asciiTheme="minorEastAsia" w:hAnsiTheme="minorEastAsia" w:eastAsiaTheme="minorEastAsia" w:cstheme="minorEastAsia"/>
          <w:color w:val="auto"/>
          <w:sz w:val="24"/>
          <w:szCs w:val="24"/>
          <w:highlight w:val="none"/>
          <w:shd w:val="clear" w:fill="FFFFFF"/>
        </w:rPr>
        <w:t>（北京时间）</w:t>
      </w:r>
    </w:p>
    <w:p w14:paraId="1B70F987">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rPr>
      </w:pPr>
      <w:r>
        <w:rPr>
          <w:rFonts w:hint="eastAsia" w:asciiTheme="minorEastAsia" w:hAnsiTheme="minorEastAsia" w:eastAsiaTheme="minorEastAsia" w:cstheme="minorEastAsia"/>
          <w:color w:val="auto"/>
          <w:sz w:val="24"/>
          <w:szCs w:val="24"/>
          <w:highlight w:val="none"/>
          <w:shd w:val="clear" w:fill="FFFFFF"/>
        </w:rPr>
        <w:t>2</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地点：沁阳市公共资源交</w:t>
      </w:r>
      <w:r>
        <w:rPr>
          <w:rFonts w:hint="eastAsia" w:asciiTheme="minorEastAsia" w:hAnsiTheme="minorEastAsia" w:cstheme="minorEastAsia"/>
          <w:color w:val="auto"/>
          <w:sz w:val="24"/>
          <w:szCs w:val="24"/>
          <w:highlight w:val="none"/>
          <w:shd w:val="clear" w:fill="FFFFFF"/>
          <w:lang w:eastAsia="zh-CN"/>
        </w:rPr>
        <w:t>易</w:t>
      </w:r>
      <w:r>
        <w:rPr>
          <w:rFonts w:hint="eastAsia" w:asciiTheme="minorEastAsia" w:hAnsiTheme="minorEastAsia" w:eastAsiaTheme="minorEastAsia" w:cstheme="minorEastAsia"/>
          <w:color w:val="auto"/>
          <w:sz w:val="24"/>
          <w:szCs w:val="24"/>
          <w:highlight w:val="none"/>
          <w:shd w:val="clear" w:fill="FFFFFF"/>
        </w:rPr>
        <w:t>中心</w:t>
      </w:r>
      <w:r>
        <w:rPr>
          <w:rFonts w:hint="eastAsia" w:asciiTheme="minorEastAsia" w:hAnsiTheme="minorEastAsia" w:cstheme="minorEastAsia"/>
          <w:color w:val="auto"/>
          <w:sz w:val="24"/>
          <w:szCs w:val="24"/>
          <w:highlight w:val="none"/>
          <w:shd w:val="clear" w:fill="FFFFFF"/>
          <w:lang w:val="en-US" w:eastAsia="zh-CN"/>
        </w:rPr>
        <w:t>二楼</w:t>
      </w:r>
      <w:r>
        <w:rPr>
          <w:rFonts w:hint="eastAsia" w:asciiTheme="minorEastAsia" w:hAnsiTheme="minorEastAsia" w:eastAsiaTheme="minorEastAsia" w:cstheme="minorEastAsia"/>
          <w:color w:val="auto"/>
          <w:sz w:val="24"/>
          <w:szCs w:val="24"/>
          <w:highlight w:val="none"/>
          <w:shd w:val="clear" w:fill="FFFFFF"/>
        </w:rPr>
        <w:t>开标室</w:t>
      </w:r>
    </w:p>
    <w:p w14:paraId="6E92BAE7">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六、发布公告的媒介及招标公告期限</w:t>
      </w:r>
    </w:p>
    <w:p w14:paraId="5C9C115B">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本次招标公告在</w:t>
      </w:r>
      <w:r>
        <w:rPr>
          <w:rFonts w:hint="eastAsia" w:ascii="宋体" w:hAnsi="宋体" w:cs="宋体"/>
          <w:sz w:val="24"/>
          <w:highlight w:val="none"/>
        </w:rPr>
        <w:t>《河南省政府采购网》、《</w:t>
      </w:r>
      <w:r>
        <w:rPr>
          <w:rFonts w:hint="eastAsia" w:ascii="宋体" w:hAnsi="宋体" w:cs="宋体"/>
          <w:sz w:val="24"/>
          <w:highlight w:val="none"/>
          <w:lang w:val="en-US" w:eastAsia="zh-CN"/>
        </w:rPr>
        <w:t>焦作市</w:t>
      </w:r>
      <w:r>
        <w:rPr>
          <w:rFonts w:hint="eastAsia" w:ascii="宋体" w:hAnsi="宋体" w:cs="宋体"/>
          <w:sz w:val="24"/>
          <w:highlight w:val="none"/>
        </w:rPr>
        <w:t>政府采购网》</w:t>
      </w:r>
      <w:r>
        <w:rPr>
          <w:rFonts w:hint="eastAsia" w:ascii="宋体" w:hAnsi="宋体" w:cs="宋体"/>
          <w:sz w:val="24"/>
          <w:highlight w:val="none"/>
          <w:lang w:eastAsia="zh-CN"/>
        </w:rPr>
        <w:t>、</w:t>
      </w:r>
      <w:r>
        <w:rPr>
          <w:rFonts w:hint="eastAsia" w:ascii="宋体" w:hAnsi="宋体" w:cs="宋体"/>
          <w:sz w:val="24"/>
          <w:highlight w:val="none"/>
        </w:rPr>
        <w:t>《焦作市公共资源交易中心网》、《沁阳市公共资源交易中心网》</w:t>
      </w:r>
      <w:r>
        <w:rPr>
          <w:rFonts w:hint="eastAsia" w:asciiTheme="minorEastAsia" w:hAnsiTheme="minorEastAsia" w:eastAsiaTheme="minorEastAsia" w:cstheme="minorEastAsia"/>
          <w:color w:val="auto"/>
          <w:sz w:val="24"/>
          <w:szCs w:val="24"/>
          <w:highlight w:val="none"/>
          <w:shd w:val="clear" w:fill="FFFFFF"/>
        </w:rPr>
        <w:t>上发布。公告期限为三个工作日。</w:t>
      </w:r>
    </w:p>
    <w:p w14:paraId="24947D20">
      <w:pPr>
        <w:pStyle w:val="3"/>
        <w:keepNext w:val="0"/>
        <w:keepLines w:val="0"/>
        <w:pageBreakBefore w:val="0"/>
        <w:numPr>
          <w:ilvl w:val="0"/>
          <w:numId w:val="1"/>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cstheme="minorEastAsia"/>
          <w:color w:val="auto"/>
          <w:sz w:val="24"/>
          <w:szCs w:val="24"/>
          <w:highlight w:val="none"/>
          <w:shd w:val="clear" w:fill="FFFFFF"/>
          <w:lang w:eastAsia="zh-CN"/>
        </w:rPr>
      </w:pPr>
      <w:r>
        <w:rPr>
          <w:rFonts w:hint="eastAsia" w:asciiTheme="minorEastAsia" w:hAnsiTheme="minorEastAsia" w:eastAsiaTheme="minorEastAsia" w:cstheme="minorEastAsia"/>
          <w:color w:val="auto"/>
          <w:sz w:val="24"/>
          <w:szCs w:val="24"/>
          <w:highlight w:val="none"/>
          <w:shd w:val="clear" w:fill="FFFFFF"/>
        </w:rPr>
        <w:t>其他补充事宜</w:t>
      </w:r>
      <w:r>
        <w:rPr>
          <w:rFonts w:hint="eastAsia" w:asciiTheme="minorEastAsia" w:hAnsiTheme="minorEastAsia" w:cstheme="minorEastAsia"/>
          <w:color w:val="auto"/>
          <w:sz w:val="24"/>
          <w:szCs w:val="24"/>
          <w:highlight w:val="none"/>
          <w:shd w:val="clear" w:fill="FFFFFF"/>
          <w:lang w:eastAsia="zh-CN"/>
        </w:rPr>
        <w:t>：</w:t>
      </w:r>
    </w:p>
    <w:p w14:paraId="6E7FFFEC">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宋体"/>
          <w:b/>
          <w:bCs/>
          <w:sz w:val="24"/>
          <w:highlight w:val="none"/>
        </w:rPr>
      </w:pPr>
      <w:r>
        <w:rPr>
          <w:rFonts w:hint="eastAsia" w:ascii="宋体" w:hAnsi="宋体" w:cs="宋体"/>
          <w:b/>
          <w:bCs/>
          <w:sz w:val="24"/>
          <w:highlight w:val="none"/>
        </w:rPr>
        <w:t>1.按要求进行网上获取并下载</w:t>
      </w:r>
      <w:r>
        <w:rPr>
          <w:rFonts w:hint="eastAsia" w:ascii="宋体" w:hAnsi="宋体" w:cs="宋体"/>
          <w:b/>
          <w:bCs/>
          <w:sz w:val="24"/>
          <w:highlight w:val="none"/>
          <w:lang w:val="en-US" w:eastAsia="zh-CN"/>
        </w:rPr>
        <w:t>询价</w:t>
      </w:r>
      <w:r>
        <w:rPr>
          <w:rFonts w:hint="eastAsia" w:ascii="宋体" w:hAnsi="宋体" w:cs="宋体"/>
          <w:b/>
          <w:bCs/>
          <w:sz w:val="24"/>
          <w:highlight w:val="none"/>
        </w:rPr>
        <w:t>文件,凡未在规定时间内获取</w:t>
      </w:r>
      <w:r>
        <w:rPr>
          <w:rFonts w:hint="eastAsia" w:ascii="宋体" w:hAnsi="宋体" w:cs="宋体"/>
          <w:b/>
          <w:bCs/>
          <w:sz w:val="24"/>
          <w:highlight w:val="none"/>
          <w:lang w:val="en-US" w:eastAsia="zh-CN"/>
        </w:rPr>
        <w:t>询价</w:t>
      </w:r>
      <w:r>
        <w:rPr>
          <w:rFonts w:hint="eastAsia" w:ascii="宋体" w:hAnsi="宋体" w:cs="宋体"/>
          <w:b/>
          <w:bCs/>
          <w:sz w:val="24"/>
          <w:highlight w:val="none"/>
        </w:rPr>
        <w:t>文件者视为无效标。</w:t>
      </w:r>
    </w:p>
    <w:p w14:paraId="49A77AC6">
      <w:pPr>
        <w:pStyle w:val="2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cs="宋体"/>
          <w:b/>
          <w:bCs/>
          <w:sz w:val="24"/>
          <w:highlight w:val="none"/>
          <w:shd w:val="clear" w:color="auto" w:fill="FFFFFF"/>
        </w:rPr>
      </w:pPr>
      <w:r>
        <w:rPr>
          <w:rFonts w:hint="eastAsia" w:cs="宋体"/>
          <w:b/>
          <w:bCs/>
          <w:sz w:val="24"/>
          <w:highlight w:val="none"/>
          <w:shd w:val="clear" w:color="auto" w:fill="FFFFFF"/>
        </w:rPr>
        <w:t>2.本项目采用“远程不见面”的开标方式。投标供应商无需到沁阳市公共资源交易中心现场参加开标会议，无需到达现场提交原件资料。投标供应商应当投标截止前，登录远程开标大厅，在线准时参加开标活动并进行文件解密、答疑澄清等。在规定时间内响应性文件未解密的投标供应商，视为放弃投标。</w:t>
      </w:r>
    </w:p>
    <w:p w14:paraId="2572E615">
      <w:pPr>
        <w:pStyle w:val="2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cs="宋体"/>
          <w:b/>
          <w:bCs/>
          <w:sz w:val="24"/>
          <w:highlight w:val="none"/>
          <w:shd w:val="clear" w:color="auto" w:fill="FFFFFF"/>
        </w:rPr>
        <w:t>特别提醒：本项目采用不见面开标方式和全程电子化评标的方式进行，潜在投标供应商可提前在焦作市交易中心官网首页---下载中心--下载《焦作市电子招投标系统操作手册》和《焦作市公共资源交易平台不见面开标操作手册》、《响应性文件制作工作工具》等，查看操作说明，按要求进行响应性文件制作和上传等。为避免网络拥堵等不可控因素影响响应性文件的上传，请提前上传响应性文件，并在开标截止时间前登录不见面开标大厅进行签到，按要求解密响应性文件。因文件未及时上传导致投标失败的责任由投标供应商自行承担。具体要求详见</w:t>
      </w:r>
      <w:r>
        <w:rPr>
          <w:rFonts w:hint="eastAsia" w:cs="宋体"/>
          <w:b/>
          <w:bCs/>
          <w:sz w:val="24"/>
          <w:highlight w:val="none"/>
          <w:shd w:val="clear" w:color="auto" w:fill="FFFFFF"/>
          <w:lang w:eastAsia="zh-CN"/>
        </w:rPr>
        <w:t>询价</w:t>
      </w:r>
      <w:r>
        <w:rPr>
          <w:rFonts w:hint="eastAsia" w:cs="宋体"/>
          <w:b/>
          <w:bCs/>
          <w:sz w:val="24"/>
          <w:highlight w:val="none"/>
          <w:shd w:val="clear" w:color="auto" w:fill="FFFFFF"/>
        </w:rPr>
        <w:t>文件。技术支持请联系：平台统一技术服务电话为：400-998-0000、服务时间：周一至周日8：00-17：30。</w:t>
      </w:r>
    </w:p>
    <w:p w14:paraId="2EF34E42">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八、凡对本次招标提出询问，请按照以下方式联系</w:t>
      </w:r>
    </w:p>
    <w:p w14:paraId="29A1ABF7">
      <w:pPr>
        <w:pStyle w:val="24"/>
        <w:spacing w:before="0" w:beforeAutospacing="0" w:after="0" w:afterAutospacing="0" w:line="500" w:lineRule="exact"/>
        <w:ind w:firstLine="480"/>
        <w:outlineLvl w:val="2"/>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1.采购人信息</w:t>
      </w:r>
    </w:p>
    <w:p w14:paraId="6AF1DF8B">
      <w:pPr>
        <w:pStyle w:val="24"/>
        <w:spacing w:before="0" w:beforeAutospacing="0" w:after="0" w:afterAutospacing="0" w:line="500" w:lineRule="exact"/>
        <w:ind w:firstLine="480"/>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rPr>
        <w:t>名</w:t>
      </w:r>
      <w:r>
        <w:rPr>
          <w:rFonts w:hint="eastAsia" w:ascii="宋体" w:hAnsi="宋体" w:eastAsia="宋体" w:cs="宋体"/>
          <w:b w:val="0"/>
          <w:color w:val="auto"/>
          <w:sz w:val="24"/>
          <w:highlight w:val="none"/>
          <w:lang w:val="en-US" w:eastAsia="zh-CN"/>
        </w:rPr>
        <w:t xml:space="preserve">  </w:t>
      </w:r>
      <w:r>
        <w:rPr>
          <w:rFonts w:hint="eastAsia" w:ascii="宋体" w:hAnsi="宋体" w:eastAsia="宋体" w:cs="宋体"/>
          <w:b w:val="0"/>
          <w:color w:val="auto"/>
          <w:sz w:val="24"/>
          <w:highlight w:val="none"/>
        </w:rPr>
        <w:t>称：沁阳市</w:t>
      </w:r>
      <w:r>
        <w:rPr>
          <w:rFonts w:hint="eastAsia" w:ascii="宋体" w:hAnsi="宋体" w:eastAsia="宋体" w:cs="宋体"/>
          <w:b w:val="0"/>
          <w:color w:val="auto"/>
          <w:sz w:val="24"/>
          <w:highlight w:val="none"/>
          <w:lang w:eastAsia="zh-CN"/>
        </w:rPr>
        <w:t>农业技术推广中心</w:t>
      </w:r>
    </w:p>
    <w:p w14:paraId="6C44B5F9">
      <w:pPr>
        <w:pStyle w:val="24"/>
        <w:spacing w:before="0" w:beforeAutospacing="0" w:after="0" w:afterAutospacing="0" w:line="500" w:lineRule="exact"/>
        <w:ind w:firstLine="48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地 址：</w:t>
      </w:r>
      <w:r>
        <w:rPr>
          <w:rFonts w:hint="eastAsia" w:ascii="宋体" w:hAnsi="宋体" w:eastAsia="宋体" w:cs="宋体"/>
          <w:color w:val="auto"/>
          <w:sz w:val="24"/>
          <w:szCs w:val="24"/>
          <w:highlight w:val="none"/>
          <w:shd w:val="clear" w:color="auto" w:fill="FFFFFF"/>
          <w:lang w:eastAsia="zh-CN"/>
        </w:rPr>
        <w:t>沁阳市委党校西临街楼</w:t>
      </w:r>
      <w:r>
        <w:rPr>
          <w:rFonts w:hint="eastAsia" w:ascii="宋体" w:hAnsi="宋体" w:eastAsia="宋体" w:cs="宋体"/>
          <w:color w:val="auto"/>
          <w:sz w:val="24"/>
          <w:szCs w:val="24"/>
          <w:highlight w:val="none"/>
          <w:shd w:val="clear" w:color="auto" w:fill="FFFFFF"/>
          <w:lang w:val="en-US" w:eastAsia="zh-CN"/>
        </w:rPr>
        <w:t>321房间</w:t>
      </w:r>
    </w:p>
    <w:p w14:paraId="1AC28BEF">
      <w:pPr>
        <w:pStyle w:val="24"/>
        <w:spacing w:before="0" w:beforeAutospacing="0" w:after="0" w:afterAutospacing="0" w:line="500" w:lineRule="exact"/>
        <w:ind w:firstLine="480"/>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rPr>
        <w:t>联系人：</w:t>
      </w:r>
      <w:r>
        <w:rPr>
          <w:rFonts w:hint="eastAsia" w:ascii="宋体" w:hAnsi="宋体" w:eastAsia="宋体" w:cs="宋体"/>
          <w:b w:val="0"/>
          <w:color w:val="auto"/>
          <w:sz w:val="24"/>
          <w:highlight w:val="none"/>
          <w:lang w:eastAsia="zh-CN"/>
        </w:rPr>
        <w:t>李</w:t>
      </w:r>
      <w:r>
        <w:rPr>
          <w:rFonts w:hint="eastAsia" w:eastAsia="宋体" w:cs="宋体"/>
          <w:szCs w:val="21"/>
          <w:highlight w:val="none"/>
          <w:lang w:val="en-US" w:eastAsia="zh-CN"/>
        </w:rPr>
        <w:t>女士</w:t>
      </w:r>
    </w:p>
    <w:p w14:paraId="6578494C">
      <w:pPr>
        <w:pStyle w:val="24"/>
        <w:spacing w:before="0" w:beforeAutospacing="0" w:after="0" w:afterAutospacing="0" w:line="500" w:lineRule="exact"/>
        <w:ind w:firstLine="480"/>
        <w:rPr>
          <w:rFonts w:hint="default"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rPr>
        <w:t>电 话：</w:t>
      </w:r>
      <w:r>
        <w:rPr>
          <w:rFonts w:hint="eastAsia" w:ascii="宋体" w:hAnsi="宋体" w:eastAsia="宋体" w:cs="宋体"/>
          <w:b w:val="0"/>
          <w:color w:val="auto"/>
          <w:sz w:val="24"/>
          <w:highlight w:val="none"/>
          <w:lang w:val="en-US" w:eastAsia="zh-CN"/>
        </w:rPr>
        <w:t>15239719856</w:t>
      </w:r>
    </w:p>
    <w:p w14:paraId="719C1F42">
      <w:pPr>
        <w:pStyle w:val="24"/>
        <w:spacing w:before="0" w:beforeAutospacing="0" w:after="0" w:afterAutospacing="0" w:line="500" w:lineRule="exact"/>
        <w:ind w:firstLine="480" w:firstLineChars="200"/>
        <w:outlineLvl w:val="2"/>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2.采购代理机构信息</w:t>
      </w:r>
    </w:p>
    <w:p w14:paraId="595DF99C">
      <w:pPr>
        <w:pStyle w:val="24"/>
        <w:spacing w:before="0" w:beforeAutospacing="0" w:after="0" w:afterAutospacing="0" w:line="500" w:lineRule="exact"/>
        <w:ind w:firstLine="480"/>
        <w:outlineLvl w:val="3"/>
        <w:rPr>
          <w:rFonts w:hint="eastAsia" w:ascii="宋体" w:hAnsi="宋体" w:eastAsia="宋体" w:cs="宋体"/>
          <w:b w:val="0"/>
          <w:color w:val="auto"/>
          <w:sz w:val="24"/>
          <w:highlight w:val="none"/>
          <w:lang w:val="en-US" w:eastAsia="zh-CN"/>
        </w:rPr>
      </w:pPr>
      <w:r>
        <w:rPr>
          <w:rFonts w:hint="eastAsia" w:eastAsia="宋体" w:cs="宋体"/>
          <w:b w:val="0"/>
          <w:color w:val="auto"/>
          <w:sz w:val="24"/>
          <w:highlight w:val="none"/>
          <w:lang w:eastAsia="zh-CN"/>
        </w:rPr>
        <w:t>名</w:t>
      </w:r>
      <w:r>
        <w:rPr>
          <w:rFonts w:hint="eastAsia" w:eastAsia="宋体" w:cs="宋体"/>
          <w:b w:val="0"/>
          <w:color w:val="auto"/>
          <w:sz w:val="24"/>
          <w:highlight w:val="none"/>
          <w:lang w:val="en-US" w:eastAsia="zh-CN"/>
        </w:rPr>
        <w:t xml:space="preserve">   </w:t>
      </w:r>
      <w:r>
        <w:rPr>
          <w:rFonts w:hint="eastAsia" w:eastAsia="宋体" w:cs="宋体"/>
          <w:b w:val="0"/>
          <w:color w:val="auto"/>
          <w:sz w:val="24"/>
          <w:highlight w:val="none"/>
          <w:lang w:eastAsia="zh-CN"/>
        </w:rPr>
        <w:t>称</w:t>
      </w:r>
      <w:r>
        <w:rPr>
          <w:rFonts w:hint="eastAsia" w:ascii="宋体" w:hAnsi="宋体" w:eastAsia="宋体" w:cs="宋体"/>
          <w:b w:val="0"/>
          <w:color w:val="auto"/>
          <w:sz w:val="24"/>
          <w:highlight w:val="none"/>
        </w:rPr>
        <w:t>：河南森沁工程服务有限公司</w:t>
      </w:r>
    </w:p>
    <w:p w14:paraId="57D3D266">
      <w:pPr>
        <w:pStyle w:val="24"/>
        <w:spacing w:before="0" w:beforeAutospacing="0" w:after="0" w:afterAutospacing="0" w:line="500" w:lineRule="exact"/>
        <w:ind w:firstLine="480"/>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rPr>
        <w:t>地  址：沁阳市太行街道新民街</w:t>
      </w:r>
    </w:p>
    <w:p w14:paraId="55C67937">
      <w:pPr>
        <w:pStyle w:val="24"/>
        <w:spacing w:before="0" w:beforeAutospacing="0" w:after="0" w:afterAutospacing="0" w:line="500" w:lineRule="exact"/>
        <w:ind w:firstLine="480"/>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rPr>
        <w:t>联系人：</w:t>
      </w:r>
      <w:r>
        <w:rPr>
          <w:rFonts w:hint="eastAsia" w:eastAsia="宋体" w:cs="宋体"/>
          <w:b w:val="0"/>
          <w:color w:val="auto"/>
          <w:sz w:val="24"/>
          <w:highlight w:val="none"/>
          <w:lang w:eastAsia="zh-CN"/>
        </w:rPr>
        <w:t>邢</w:t>
      </w:r>
      <w:r>
        <w:rPr>
          <w:rFonts w:hint="eastAsia" w:ascii="宋体" w:hAnsi="宋体" w:eastAsia="宋体" w:cs="宋体"/>
          <w:szCs w:val="21"/>
          <w:highlight w:val="none"/>
          <w:lang w:val="en-US" w:eastAsia="zh-CN"/>
        </w:rPr>
        <w:t>先生</w:t>
      </w:r>
    </w:p>
    <w:p w14:paraId="08C4D461">
      <w:pPr>
        <w:pStyle w:val="24"/>
        <w:spacing w:before="0" w:beforeAutospacing="0" w:after="0" w:afterAutospacing="0" w:line="500" w:lineRule="exact"/>
        <w:ind w:firstLine="480"/>
        <w:rPr>
          <w:rFonts w:hint="default" w:ascii="宋体" w:hAnsi="宋体" w:eastAsia="宋体" w:cs="宋体"/>
          <w:szCs w:val="21"/>
          <w:highlight w:val="none"/>
          <w:lang w:val="en-US" w:eastAsia="zh-CN"/>
        </w:rPr>
      </w:pPr>
      <w:r>
        <w:rPr>
          <w:rFonts w:hint="eastAsia" w:ascii="宋体" w:hAnsi="宋体" w:eastAsia="宋体" w:cs="宋体"/>
          <w:b w:val="0"/>
          <w:color w:val="auto"/>
          <w:sz w:val="24"/>
          <w:highlight w:val="none"/>
        </w:rPr>
        <w:t>电  话：</w:t>
      </w:r>
      <w:r>
        <w:rPr>
          <w:rFonts w:hint="eastAsia" w:ascii="宋体" w:hAnsi="宋体" w:eastAsia="宋体" w:cs="宋体"/>
          <w:b w:val="0"/>
          <w:color w:val="auto"/>
          <w:sz w:val="24"/>
          <w:highlight w:val="none"/>
          <w:lang w:val="en-US" w:eastAsia="zh-CN"/>
        </w:rPr>
        <w:t>16639153777</w:t>
      </w:r>
    </w:p>
    <w:p w14:paraId="61B0307A">
      <w:pPr>
        <w:pStyle w:val="24"/>
        <w:spacing w:before="0" w:beforeAutospacing="0" w:after="0" w:afterAutospacing="0" w:line="500" w:lineRule="exact"/>
        <w:ind w:firstLine="480"/>
        <w:outlineLvl w:val="2"/>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3.项目联系方式</w:t>
      </w:r>
    </w:p>
    <w:p w14:paraId="0191A82B">
      <w:pPr>
        <w:pStyle w:val="24"/>
        <w:spacing w:before="0" w:beforeAutospacing="0" w:after="0" w:afterAutospacing="0" w:line="500" w:lineRule="exact"/>
        <w:ind w:firstLine="480"/>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rPr>
        <w:t>项目联系人：</w:t>
      </w:r>
      <w:r>
        <w:rPr>
          <w:rFonts w:hint="eastAsia" w:ascii="宋体" w:hAnsi="宋体" w:eastAsia="宋体" w:cs="宋体"/>
          <w:b w:val="0"/>
          <w:color w:val="auto"/>
          <w:sz w:val="24"/>
          <w:highlight w:val="none"/>
          <w:lang w:eastAsia="zh-CN"/>
        </w:rPr>
        <w:t>李</w:t>
      </w:r>
      <w:r>
        <w:rPr>
          <w:rFonts w:hint="eastAsia" w:eastAsia="宋体" w:cs="宋体"/>
          <w:szCs w:val="21"/>
          <w:highlight w:val="none"/>
          <w:lang w:val="en-US" w:eastAsia="zh-CN"/>
        </w:rPr>
        <w:t>女士</w:t>
      </w:r>
    </w:p>
    <w:p w14:paraId="650B29E5">
      <w:pPr>
        <w:pStyle w:val="24"/>
        <w:spacing w:before="0" w:beforeAutospacing="0" w:after="0" w:afterAutospacing="0" w:line="500" w:lineRule="exact"/>
        <w:ind w:firstLine="480"/>
        <w:rPr>
          <w:rFonts w:hint="default" w:ascii="宋体" w:hAnsi="宋体" w:eastAsia="宋体" w:cs="宋体"/>
          <w:b w:val="0"/>
          <w:color w:val="000000" w:themeColor="text1"/>
          <w:sz w:val="24"/>
          <w:highlight w:val="none"/>
          <w:lang w:val="en-US" w:eastAsia="zh-CN"/>
          <w14:textFill>
            <w14:solidFill>
              <w14:schemeClr w14:val="tx1"/>
            </w14:solidFill>
          </w14:textFill>
        </w:rPr>
      </w:pPr>
      <w:r>
        <w:rPr>
          <w:rFonts w:hint="eastAsia" w:ascii="宋体" w:hAnsi="宋体" w:eastAsia="宋体" w:cs="宋体"/>
          <w:b w:val="0"/>
          <w:color w:val="auto"/>
          <w:sz w:val="24"/>
          <w:highlight w:val="none"/>
        </w:rPr>
        <w:t>电 话：</w:t>
      </w:r>
      <w:r>
        <w:rPr>
          <w:rFonts w:hint="eastAsia" w:eastAsia="宋体" w:cs="宋体"/>
          <w:szCs w:val="21"/>
          <w:highlight w:val="none"/>
          <w:lang w:val="en-US" w:eastAsia="zh-CN"/>
        </w:rPr>
        <w:t>15239719856</w:t>
      </w:r>
    </w:p>
    <w:p w14:paraId="0DE62F67">
      <w:pPr>
        <w:pStyle w:val="24"/>
        <w:spacing w:before="0" w:beforeAutospacing="0" w:after="0" w:afterAutospacing="0" w:line="500" w:lineRule="exact"/>
        <w:ind w:firstLine="480"/>
        <w:rPr>
          <w:rFonts w:hint="default" w:ascii="宋体" w:hAnsi="宋体" w:eastAsia="宋体" w:cs="宋体"/>
          <w:b w:val="0"/>
          <w:color w:val="0000FF"/>
          <w:sz w:val="24"/>
          <w:highlight w:val="none"/>
          <w:lang w:val="en-US" w:eastAsia="zh-CN"/>
        </w:rPr>
      </w:pPr>
    </w:p>
    <w:p w14:paraId="2821547D">
      <w:pPr>
        <w:pStyle w:val="24"/>
        <w:spacing w:before="0" w:beforeAutospacing="0" w:after="0" w:afterAutospacing="0" w:line="500" w:lineRule="exact"/>
        <w:ind w:firstLine="480"/>
        <w:rPr>
          <w:rFonts w:hint="eastAsia" w:ascii="宋体" w:hAnsi="宋体" w:eastAsia="宋体" w:cs="宋体"/>
          <w:b w:val="0"/>
          <w:color w:val="auto"/>
          <w:sz w:val="24"/>
          <w:highlight w:val="none"/>
        </w:rPr>
      </w:pPr>
    </w:p>
    <w:p w14:paraId="7256B236">
      <w:pPr>
        <w:pStyle w:val="24"/>
        <w:spacing w:before="0" w:beforeAutospacing="0" w:after="0" w:afterAutospacing="0" w:line="360" w:lineRule="auto"/>
        <w:ind w:firstLine="480"/>
        <w:jc w:val="right"/>
        <w:rPr>
          <w:rFonts w:hint="eastAsia" w:ascii="宋体" w:hAnsi="宋体" w:eastAsia="宋体" w:cs="宋体"/>
          <w:b w:val="0"/>
          <w:color w:val="auto"/>
          <w:sz w:val="24"/>
          <w:szCs w:val="20"/>
          <w:highlight w:val="none"/>
          <w:lang w:eastAsia="zh-CN"/>
        </w:rPr>
      </w:pPr>
      <w:r>
        <w:rPr>
          <w:rFonts w:hint="eastAsia" w:ascii="宋体" w:hAnsi="宋体" w:eastAsia="宋体" w:cs="宋体"/>
          <w:b w:val="0"/>
          <w:color w:val="auto"/>
          <w:sz w:val="24"/>
          <w:szCs w:val="20"/>
          <w:highlight w:val="none"/>
        </w:rPr>
        <w:t>沁阳市</w:t>
      </w:r>
      <w:r>
        <w:rPr>
          <w:rFonts w:hint="eastAsia" w:ascii="宋体" w:hAnsi="宋体" w:eastAsia="宋体" w:cs="宋体"/>
          <w:b w:val="0"/>
          <w:color w:val="auto"/>
          <w:sz w:val="24"/>
          <w:szCs w:val="20"/>
          <w:highlight w:val="none"/>
          <w:lang w:eastAsia="zh-CN"/>
        </w:rPr>
        <w:t>农业技术推广中心</w:t>
      </w:r>
    </w:p>
    <w:p w14:paraId="082E9ACF">
      <w:pPr>
        <w:spacing w:line="360" w:lineRule="auto"/>
        <w:jc w:val="right"/>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河南森沁工程服务有限公司</w:t>
      </w:r>
    </w:p>
    <w:p w14:paraId="4D801904">
      <w:pPr>
        <w:jc w:val="right"/>
        <w:rPr>
          <w:rFonts w:hint="eastAsia" w:asciiTheme="minorEastAsia" w:hAnsiTheme="minorEastAsia" w:eastAsiaTheme="minorEastAsia" w:cstheme="minorEastAsia"/>
          <w:b/>
          <w:bCs/>
          <w:color w:val="auto"/>
          <w:sz w:val="36"/>
          <w:szCs w:val="36"/>
          <w:highlight w:val="none"/>
          <w:shd w:val="clear" w:color="auto" w:fill="FFFFFF"/>
          <w:lang w:val="en-US" w:eastAsia="zh-CN"/>
        </w:rPr>
      </w:pPr>
      <w:r>
        <w:rPr>
          <w:rFonts w:hint="eastAsia" w:ascii="宋体" w:hAnsi="宋体" w:eastAsia="宋体" w:cs="宋体"/>
          <w:b w:val="0"/>
          <w:color w:val="000000" w:themeColor="text1"/>
          <w:sz w:val="24"/>
          <w:szCs w:val="24"/>
          <w:highlight w:val="none"/>
          <w14:textFill>
            <w14:solidFill>
              <w14:schemeClr w14:val="tx1"/>
            </w14:solidFill>
          </w14:textFill>
        </w:rPr>
        <w:t>202</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color w:val="000000" w:themeColor="text1"/>
          <w:sz w:val="24"/>
          <w:szCs w:val="24"/>
          <w:highlight w:val="none"/>
          <w14:textFill>
            <w14:solidFill>
              <w14:schemeClr w14:val="tx1"/>
            </w14:solidFill>
          </w14:textFill>
        </w:rPr>
        <w:t>年</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b w:val="0"/>
          <w:color w:val="000000" w:themeColor="text1"/>
          <w:sz w:val="24"/>
          <w:szCs w:val="24"/>
          <w:highlight w:val="none"/>
          <w14:textFill>
            <w14:solidFill>
              <w14:schemeClr w14:val="tx1"/>
            </w14:solidFill>
          </w14:textFill>
        </w:rPr>
        <w:t>月</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b w:val="0"/>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b/>
          <w:bCs/>
          <w:color w:val="auto"/>
          <w:sz w:val="36"/>
          <w:szCs w:val="36"/>
          <w:highlight w:val="none"/>
          <w:shd w:val="clear" w:color="auto" w:fill="FFFFFF"/>
          <w:lang w:val="en-US" w:eastAsia="zh-CN"/>
        </w:rPr>
        <w:br w:type="page"/>
      </w:r>
    </w:p>
    <w:p w14:paraId="6778C63C">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bCs/>
          <w:color w:val="auto"/>
          <w:sz w:val="36"/>
          <w:szCs w:val="36"/>
          <w:highlight w:val="none"/>
          <w:shd w:val="clear" w:color="auto" w:fill="FFFFFF"/>
          <w:lang w:val="en-US" w:eastAsia="zh-CN"/>
        </w:rPr>
      </w:pPr>
      <w:r>
        <w:rPr>
          <w:rFonts w:hint="eastAsia" w:asciiTheme="minorEastAsia" w:hAnsiTheme="minorEastAsia" w:cstheme="minorEastAsia"/>
          <w:b/>
          <w:bCs/>
          <w:color w:val="auto"/>
          <w:sz w:val="32"/>
          <w:szCs w:val="32"/>
          <w:highlight w:val="none"/>
          <w:shd w:val="clear" w:color="auto" w:fill="FFFFFF"/>
          <w:lang w:val="en-US" w:eastAsia="zh-CN"/>
        </w:rPr>
        <w:t>沁阳市农业技术推广中心沁阳市农作物重大病虫害防控项目（二次）</w:t>
      </w:r>
    </w:p>
    <w:p w14:paraId="55171BED">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询价文件</w:t>
      </w:r>
    </w:p>
    <w:p w14:paraId="33319A8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河南森沁工程服务有限公司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lang w:val="en-US" w:eastAsia="zh-CN"/>
        </w:rPr>
        <w:t>沁阳市农业技术推广中心的</w:t>
      </w:r>
      <w:r>
        <w:rPr>
          <w:rFonts w:hint="eastAsia" w:ascii="宋体" w:hAnsi="宋体" w:cs="宋体"/>
          <w:color w:val="auto"/>
          <w:sz w:val="24"/>
          <w:szCs w:val="24"/>
          <w:highlight w:val="none"/>
        </w:rPr>
        <w:t>委托，就</w:t>
      </w:r>
      <w:r>
        <w:rPr>
          <w:rFonts w:hint="eastAsia" w:ascii="宋体" w:hAnsi="宋体" w:cs="宋体"/>
          <w:color w:val="auto"/>
          <w:sz w:val="24"/>
          <w:szCs w:val="24"/>
          <w:highlight w:val="none"/>
          <w:lang w:val="en-US" w:eastAsia="zh-CN"/>
        </w:rPr>
        <w:t>沁阳市农业技术推广中心沁阳市农作物重大病虫害防控项目（二次）</w:t>
      </w:r>
      <w:r>
        <w:rPr>
          <w:rFonts w:hint="eastAsia" w:ascii="宋体" w:hAnsi="宋体" w:cs="宋体"/>
          <w:color w:val="auto"/>
          <w:sz w:val="24"/>
          <w:szCs w:val="24"/>
          <w:highlight w:val="none"/>
        </w:rPr>
        <w:t>进行询价采购，欢迎符合条件的供应商参加询价。</w:t>
      </w:r>
    </w:p>
    <w:p w14:paraId="7BD81E24">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一、询价采购编号及预算价：</w:t>
      </w:r>
    </w:p>
    <w:p w14:paraId="43167494">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1、</w:t>
      </w:r>
      <w:bookmarkStart w:id="0" w:name="OLE_LINK14"/>
      <w:r>
        <w:rPr>
          <w:rFonts w:hint="eastAsia" w:ascii="宋体" w:hAnsi="宋体" w:cs="宋体"/>
          <w:color w:val="auto"/>
          <w:sz w:val="24"/>
          <w:szCs w:val="24"/>
          <w:highlight w:val="none"/>
        </w:rPr>
        <w:t>采购编号</w:t>
      </w:r>
      <w:bookmarkEnd w:id="0"/>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沁</w:t>
      </w:r>
      <w:r>
        <w:rPr>
          <w:rFonts w:hint="eastAsia" w:ascii="宋体" w:hAnsi="宋体" w:cs="宋体"/>
          <w:color w:val="auto"/>
          <w:sz w:val="24"/>
          <w:szCs w:val="24"/>
          <w:highlight w:val="none"/>
          <w:lang w:val="en-US" w:eastAsia="zh-CN"/>
        </w:rPr>
        <w:t>财</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lang w:eastAsia="zh-CN"/>
        </w:rPr>
        <w:t>-2024-</w:t>
      </w:r>
      <w:r>
        <w:rPr>
          <w:rFonts w:hint="eastAsia" w:ascii="宋体" w:hAnsi="宋体" w:cs="宋体"/>
          <w:color w:val="auto"/>
          <w:sz w:val="24"/>
          <w:szCs w:val="24"/>
          <w:highlight w:val="none"/>
          <w:lang w:val="en-US" w:eastAsia="zh-CN"/>
        </w:rPr>
        <w:t xml:space="preserve">3     </w:t>
      </w:r>
      <w:r>
        <w:rPr>
          <w:rFonts w:hint="eastAsia" w:asciiTheme="minorEastAsia" w:hAnsiTheme="minorEastAsia" w:cstheme="minorEastAsia"/>
          <w:color w:val="auto"/>
          <w:sz w:val="24"/>
          <w:szCs w:val="24"/>
          <w:highlight w:val="none"/>
          <w:shd w:val="clear" w:fill="FFFFFF"/>
          <w:lang w:val="en-US" w:eastAsia="zh-CN"/>
        </w:rPr>
        <w:t>项目编号：沁公资采购H2024-045号</w:t>
      </w:r>
    </w:p>
    <w:p w14:paraId="50743F89">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预算金额</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叁拾叁万玖仟叁佰元整（339300.00元）</w:t>
      </w:r>
    </w:p>
    <w:p w14:paraId="382EEED0">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3、资金来源：</w:t>
      </w:r>
      <w:r>
        <w:rPr>
          <w:rFonts w:hint="eastAsia" w:ascii="宋体" w:hAnsi="宋体" w:cs="宋体"/>
          <w:color w:val="auto"/>
          <w:sz w:val="24"/>
          <w:szCs w:val="24"/>
          <w:highlight w:val="none"/>
          <w:lang w:val="en-US" w:eastAsia="zh-CN"/>
        </w:rPr>
        <w:t>财政资金</w:t>
      </w:r>
    </w:p>
    <w:p w14:paraId="4D86ADBC">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right="-120" w:firstLine="480" w:firstLineChars="200"/>
        <w:jc w:val="left"/>
        <w:textAlignment w:val="auto"/>
        <w:rPr>
          <w:rFonts w:hint="eastAsia"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4、询价内容：</w:t>
      </w:r>
      <w:r>
        <w:rPr>
          <w:rFonts w:hint="eastAsia" w:eastAsia="宋体" w:cs="宋体"/>
          <w:color w:val="auto"/>
          <w:szCs w:val="24"/>
          <w:highlight w:val="none"/>
          <w:lang w:val="en-US" w:eastAsia="zh-CN"/>
        </w:rPr>
        <w:t>采购一批小麦拌种剂</w:t>
      </w:r>
    </w:p>
    <w:p w14:paraId="05895FF2">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二、询价项目技术要求：详见附件</w:t>
      </w:r>
      <w:r>
        <w:rPr>
          <w:rFonts w:hint="eastAsia" w:ascii="宋体" w:hAnsi="宋体" w:cs="宋体"/>
          <w:color w:val="auto"/>
          <w:sz w:val="24"/>
          <w:szCs w:val="24"/>
          <w:highlight w:val="none"/>
          <w:lang w:eastAsia="zh-CN"/>
        </w:rPr>
        <w:t>二</w:t>
      </w:r>
    </w:p>
    <w:p w14:paraId="4800AB7E">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三、项目需要落实的政府采购政策：</w:t>
      </w:r>
    </w:p>
    <w:p w14:paraId="6C7F31A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本项目专门面向中小企业采购。促进中小企业和监狱企业发展扶持政策、政府强制采购节能产品强制采购、节能产品及环境标志产品优先采购、促进残疾人就业政府采购政策；</w:t>
      </w:r>
    </w:p>
    <w:p w14:paraId="3644BEF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四、询价供应商资格条件：</w:t>
      </w:r>
    </w:p>
    <w:p w14:paraId="06E33913">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1</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满足《中华人民共和国政府采购法》第二十二条规定；</w:t>
      </w:r>
    </w:p>
    <w:p w14:paraId="0AA45AF2">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rPr>
      </w:pPr>
      <w:r>
        <w:rPr>
          <w:rFonts w:hint="eastAsia" w:asciiTheme="minorEastAsia" w:hAnsiTheme="minorEastAsia" w:eastAsiaTheme="minorEastAsia" w:cstheme="minorEastAsia"/>
          <w:color w:val="auto"/>
          <w:sz w:val="24"/>
          <w:szCs w:val="24"/>
          <w:highlight w:val="none"/>
          <w:shd w:val="clear" w:fill="FFFFFF"/>
        </w:rPr>
        <w:t>2</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落实政府采购政策满足的资格要求：本项目专门面向中小企业采购。促进中小企业和监狱企业发展扶持政策、政府强制采购节能产品强制采购、节能产品及环境标志产品优先采购、促进残疾人就业政府采购政策；</w:t>
      </w:r>
    </w:p>
    <w:p w14:paraId="51C9057F">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w:t>
      </w:r>
      <w:r>
        <w:rPr>
          <w:rFonts w:hint="eastAsia" w:asciiTheme="minorEastAsia" w:hAnsiTheme="minorEastAsia" w:cstheme="minorEastAsia"/>
          <w:color w:val="auto"/>
          <w:sz w:val="24"/>
          <w:szCs w:val="24"/>
          <w:highlight w:val="none"/>
          <w:shd w:val="clear" w:fill="FFFFFF"/>
          <w:lang w:val="en-US" w:eastAsia="zh-CN"/>
        </w:rPr>
        <w:t>、</w:t>
      </w:r>
      <w:r>
        <w:rPr>
          <w:rFonts w:hint="eastAsia" w:asciiTheme="minorEastAsia" w:hAnsiTheme="minorEastAsia" w:eastAsiaTheme="minorEastAsia" w:cstheme="minorEastAsia"/>
          <w:color w:val="auto"/>
          <w:sz w:val="24"/>
          <w:szCs w:val="24"/>
          <w:highlight w:val="none"/>
          <w:shd w:val="clear" w:fill="FFFFFF"/>
          <w:lang w:val="en-US" w:eastAsia="zh-CN"/>
        </w:rPr>
        <w:t>本项目的特定资格要求：</w:t>
      </w:r>
    </w:p>
    <w:p w14:paraId="23BC787F">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3.1提供沁阳市政府采购供应商资格信用承诺函；</w:t>
      </w:r>
    </w:p>
    <w:p w14:paraId="3B54D649">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3.2供应商为生产企业的须提供农药产品三证（农药登记证、产品质量标准证、农药生产许可证或者农药生产批准文件）；供应商为经销商的须提供在有效期内的农药经营许可证，所投产品生产企业的农药产品三证（农药登记证、产品质量标准证、农药生产许可证）；农药登记作物适用作物必须包含小麦；</w:t>
      </w:r>
    </w:p>
    <w:p w14:paraId="1CBC69EB">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3.3按照《财政部关于在政府采购活动中查询及使用信用记录有关问题的通知》（财库〔2016〕125号）的要求，根据开标当日采购代理机构查询“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Theme="minorEastAsia" w:hAnsiTheme="minorEastAsia" w:cstheme="minorEastAsia"/>
          <w:color w:val="auto"/>
          <w:sz w:val="24"/>
          <w:szCs w:val="24"/>
          <w:highlight w:val="none"/>
          <w:shd w:val="clear" w:fill="FFFFFF"/>
          <w:lang w:val="en-US" w:eastAsia="zh-CN"/>
        </w:rPr>
        <w:t>；</w:t>
      </w:r>
      <w:r>
        <w:rPr>
          <w:rFonts w:hint="eastAsia" w:cs="宋体" w:eastAsiaTheme="minorEastAsia"/>
          <w:color w:val="auto"/>
          <w:kern w:val="2"/>
          <w:sz w:val="24"/>
          <w:szCs w:val="24"/>
          <w:highlight w:val="none"/>
          <w:lang w:val="en-US" w:eastAsia="zh-CN" w:bidi="ar-SA"/>
        </w:rPr>
        <w:t>参与本次采购活动的供应商，其法人代表或主要负责人所在的公司在近三年内没有违法违规行为</w:t>
      </w:r>
      <w:r>
        <w:rPr>
          <w:rFonts w:hint="eastAsia" w:cs="宋体"/>
          <w:color w:val="auto"/>
          <w:kern w:val="2"/>
          <w:sz w:val="24"/>
          <w:szCs w:val="24"/>
          <w:highlight w:val="none"/>
          <w:lang w:val="en-US" w:eastAsia="zh-CN" w:bidi="ar-SA"/>
        </w:rPr>
        <w:t>。</w:t>
      </w:r>
    </w:p>
    <w:p w14:paraId="0AC747E0">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3.4本次采购不接受联合体投标（无需提供任何声明、承诺）；</w:t>
      </w:r>
    </w:p>
    <w:p w14:paraId="16A82D12">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备注：以上第3.3条由代理公司提供查询结果。</w:t>
      </w:r>
    </w:p>
    <w:p w14:paraId="1CB3171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rPr>
        <w:t>五、获取询价文件：</w:t>
      </w:r>
      <w:r>
        <w:rPr>
          <w:rFonts w:hint="eastAsia" w:ascii="宋体" w:hAnsi="宋体" w:cs="宋体"/>
          <w:color w:val="auto"/>
          <w:sz w:val="24"/>
          <w:szCs w:val="24"/>
          <w:highlight w:val="none"/>
          <w:lang w:eastAsia="zh-CN"/>
        </w:rPr>
        <w:t>、</w:t>
      </w:r>
    </w:p>
    <w:p w14:paraId="78140BD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1、时间：</w:t>
      </w:r>
      <w:r>
        <w:rPr>
          <w:rFonts w:hint="eastAsia" w:asciiTheme="minorEastAsia" w:hAnsiTheme="minorEastAsia" w:eastAsiaTheme="minorEastAsia" w:cstheme="minorEastAsia"/>
          <w:color w:val="auto"/>
          <w:sz w:val="24"/>
          <w:szCs w:val="24"/>
          <w:highlight w:val="none"/>
          <w:shd w:val="clear" w:fill="FFFFFF"/>
        </w:rPr>
        <w:t>202</w:t>
      </w:r>
      <w:r>
        <w:rPr>
          <w:rFonts w:hint="eastAsia" w:asciiTheme="minorEastAsia" w:hAnsiTheme="minorEastAsia" w:cstheme="minorEastAsia"/>
          <w:color w:val="auto"/>
          <w:sz w:val="24"/>
          <w:szCs w:val="24"/>
          <w:highlight w:val="none"/>
          <w:shd w:val="clear" w:fill="FFFFFF"/>
          <w:lang w:val="en-US" w:eastAsia="zh-CN"/>
        </w:rPr>
        <w:t>4</w:t>
      </w:r>
      <w:r>
        <w:rPr>
          <w:rFonts w:hint="eastAsia" w:asciiTheme="minorEastAsia" w:hAnsiTheme="minorEastAsia" w:eastAsiaTheme="minorEastAsia" w:cstheme="minorEastAsia"/>
          <w:color w:val="auto"/>
          <w:sz w:val="24"/>
          <w:szCs w:val="24"/>
          <w:highlight w:val="none"/>
          <w:shd w:val="clear" w:fill="FFFFFF"/>
        </w:rPr>
        <w:t>年</w:t>
      </w:r>
      <w:r>
        <w:rPr>
          <w:rFonts w:hint="eastAsia" w:asciiTheme="minorEastAsia" w:hAnsiTheme="minorEastAsia" w:cstheme="minorEastAsia"/>
          <w:color w:val="auto"/>
          <w:sz w:val="24"/>
          <w:szCs w:val="24"/>
          <w:highlight w:val="none"/>
          <w:shd w:val="clear" w:fill="FFFFFF"/>
          <w:lang w:val="en-US" w:eastAsia="zh-CN"/>
        </w:rPr>
        <w:t>09</w:t>
      </w:r>
      <w:r>
        <w:rPr>
          <w:rFonts w:hint="eastAsia" w:asciiTheme="minorEastAsia" w:hAnsiTheme="minorEastAsia" w:eastAsiaTheme="minorEastAsia" w:cstheme="minorEastAsia"/>
          <w:color w:val="auto"/>
          <w:sz w:val="24"/>
          <w:szCs w:val="24"/>
          <w:highlight w:val="none"/>
          <w:shd w:val="clear" w:fill="FFFFFF"/>
        </w:rPr>
        <w:t>月</w:t>
      </w:r>
      <w:r>
        <w:rPr>
          <w:rFonts w:hint="eastAsia" w:asciiTheme="minorEastAsia" w:hAnsiTheme="minorEastAsia" w:cstheme="minorEastAsia"/>
          <w:color w:val="auto"/>
          <w:sz w:val="24"/>
          <w:szCs w:val="24"/>
          <w:highlight w:val="none"/>
          <w:shd w:val="clear" w:fill="FFFFFF"/>
          <w:lang w:val="en-US" w:eastAsia="zh-CN"/>
        </w:rPr>
        <w:t>27</w:t>
      </w:r>
      <w:r>
        <w:rPr>
          <w:rFonts w:hint="eastAsia" w:asciiTheme="minorEastAsia" w:hAnsiTheme="minorEastAsia" w:eastAsiaTheme="minorEastAsia" w:cstheme="minorEastAsia"/>
          <w:color w:val="auto"/>
          <w:sz w:val="24"/>
          <w:szCs w:val="24"/>
          <w:highlight w:val="none"/>
          <w:shd w:val="clear" w:fill="FFFFFF"/>
        </w:rPr>
        <w:t>日</w:t>
      </w:r>
      <w:r>
        <w:rPr>
          <w:rFonts w:hint="eastAsia" w:asciiTheme="minorEastAsia" w:hAnsiTheme="minorEastAsia" w:cstheme="minorEastAsia"/>
          <w:color w:val="auto"/>
          <w:sz w:val="24"/>
          <w:szCs w:val="24"/>
          <w:highlight w:val="none"/>
          <w:shd w:val="clear" w:fill="FFFFFF"/>
          <w:lang w:val="en-US" w:eastAsia="zh-CN"/>
        </w:rPr>
        <w:t>00</w:t>
      </w:r>
      <w:r>
        <w:rPr>
          <w:rFonts w:hint="eastAsia" w:asciiTheme="minorEastAsia" w:hAnsiTheme="minorEastAsia" w:eastAsiaTheme="minorEastAsia" w:cstheme="minorEastAsia"/>
          <w:color w:val="auto"/>
          <w:sz w:val="24"/>
          <w:szCs w:val="24"/>
          <w:highlight w:val="none"/>
          <w:shd w:val="clear" w:fill="FFFFFF"/>
        </w:rPr>
        <w:t>时00分至202</w:t>
      </w:r>
      <w:r>
        <w:rPr>
          <w:rFonts w:hint="eastAsia" w:asciiTheme="minorEastAsia" w:hAnsiTheme="minorEastAsia" w:cstheme="minorEastAsia"/>
          <w:color w:val="auto"/>
          <w:sz w:val="24"/>
          <w:szCs w:val="24"/>
          <w:highlight w:val="none"/>
          <w:shd w:val="clear" w:fill="FFFFFF"/>
          <w:lang w:val="en-US" w:eastAsia="zh-CN"/>
        </w:rPr>
        <w:t>4</w:t>
      </w:r>
      <w:r>
        <w:rPr>
          <w:rFonts w:hint="eastAsia" w:asciiTheme="minorEastAsia" w:hAnsiTheme="minorEastAsia" w:eastAsiaTheme="minorEastAsia" w:cstheme="minorEastAsia"/>
          <w:color w:val="auto"/>
          <w:sz w:val="24"/>
          <w:szCs w:val="24"/>
          <w:highlight w:val="none"/>
          <w:shd w:val="clear" w:fill="FFFFFF"/>
        </w:rPr>
        <w:t>年</w:t>
      </w:r>
      <w:r>
        <w:rPr>
          <w:rFonts w:hint="eastAsia" w:asciiTheme="minorEastAsia" w:hAnsiTheme="minorEastAsia" w:cstheme="minorEastAsia"/>
          <w:color w:val="auto"/>
          <w:sz w:val="24"/>
          <w:szCs w:val="24"/>
          <w:highlight w:val="none"/>
          <w:shd w:val="clear" w:fill="FFFFFF"/>
          <w:lang w:val="en-US" w:eastAsia="zh-CN"/>
        </w:rPr>
        <w:t>09</w:t>
      </w:r>
      <w:r>
        <w:rPr>
          <w:rFonts w:hint="eastAsia" w:asciiTheme="minorEastAsia" w:hAnsiTheme="minorEastAsia" w:eastAsiaTheme="minorEastAsia" w:cstheme="minorEastAsia"/>
          <w:color w:val="auto"/>
          <w:sz w:val="24"/>
          <w:szCs w:val="24"/>
          <w:highlight w:val="none"/>
          <w:shd w:val="clear" w:fill="FFFFFF"/>
        </w:rPr>
        <w:t>月</w:t>
      </w:r>
      <w:r>
        <w:rPr>
          <w:rFonts w:hint="eastAsia" w:asciiTheme="minorEastAsia" w:hAnsiTheme="minorEastAsia" w:cstheme="minorEastAsia"/>
          <w:color w:val="auto"/>
          <w:sz w:val="24"/>
          <w:szCs w:val="24"/>
          <w:highlight w:val="none"/>
          <w:shd w:val="clear" w:fill="FFFFFF"/>
          <w:lang w:val="en-US" w:eastAsia="zh-CN"/>
        </w:rPr>
        <w:t>30</w:t>
      </w:r>
      <w:r>
        <w:rPr>
          <w:rFonts w:hint="eastAsia" w:asciiTheme="minorEastAsia" w:hAnsiTheme="minorEastAsia" w:eastAsiaTheme="minorEastAsia" w:cstheme="minorEastAsia"/>
          <w:color w:val="auto"/>
          <w:sz w:val="24"/>
          <w:szCs w:val="24"/>
          <w:highlight w:val="none"/>
          <w:shd w:val="clear" w:fill="FFFFFF"/>
        </w:rPr>
        <w:t>日</w:t>
      </w:r>
      <w:r>
        <w:rPr>
          <w:rFonts w:hint="eastAsia" w:asciiTheme="minorEastAsia" w:hAnsiTheme="minorEastAsia" w:cstheme="minorEastAsia"/>
          <w:color w:val="auto"/>
          <w:sz w:val="24"/>
          <w:szCs w:val="24"/>
          <w:highlight w:val="none"/>
          <w:shd w:val="clear" w:fill="FFFFFF"/>
          <w:lang w:val="en-US" w:eastAsia="zh-CN"/>
        </w:rPr>
        <w:t>23</w:t>
      </w:r>
      <w:r>
        <w:rPr>
          <w:rFonts w:hint="eastAsia" w:ascii="宋体" w:hAnsi="宋体" w:cs="宋体"/>
          <w:color w:val="auto"/>
          <w:sz w:val="24"/>
          <w:szCs w:val="24"/>
          <w:highlight w:val="none"/>
          <w:lang w:val="zh-CN"/>
        </w:rPr>
        <w:t>时</w:t>
      </w:r>
      <w:r>
        <w:rPr>
          <w:rFonts w:hint="eastAsia" w:ascii="宋体" w:hAnsi="宋体" w:cs="宋体"/>
          <w:color w:val="auto"/>
          <w:sz w:val="24"/>
          <w:szCs w:val="24"/>
          <w:highlight w:val="none"/>
          <w:lang w:val="en-US" w:eastAsia="zh-CN"/>
        </w:rPr>
        <w:t>59</w:t>
      </w:r>
      <w:r>
        <w:rPr>
          <w:rFonts w:hint="eastAsia" w:ascii="宋体" w:hAnsi="宋体" w:cs="宋体"/>
          <w:color w:val="auto"/>
          <w:sz w:val="24"/>
          <w:szCs w:val="24"/>
          <w:highlight w:val="none"/>
          <w:lang w:val="zh-CN"/>
        </w:rPr>
        <w:t>分</w:t>
      </w:r>
      <w:r>
        <w:rPr>
          <w:rFonts w:hint="eastAsia" w:ascii="宋体" w:hAnsi="宋体" w:cs="宋体"/>
          <w:color w:val="auto"/>
          <w:sz w:val="24"/>
          <w:szCs w:val="24"/>
          <w:highlight w:val="none"/>
        </w:rPr>
        <w:t>（北京时间，法定节假日除外）。</w:t>
      </w:r>
    </w:p>
    <w:p w14:paraId="58F89F6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2、地点：焦作市公共资源交易中心网站</w:t>
      </w:r>
    </w:p>
    <w:p w14:paraId="6FFF8AA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3、方式：本项目采用网上获取询价文件，凡有意参加投标者，请登陆焦作市公共资源交易中心网站会员系统进行网上下载询价文件。未按规定在网上下载电子文件，其投标将被拒绝。(联系电话：0391-3568920）。</w:t>
      </w:r>
    </w:p>
    <w:p w14:paraId="49884D81">
      <w:pPr>
        <w:keepNext w:val="0"/>
        <w:keepLines w:val="0"/>
        <w:pageBreakBefore w:val="0"/>
        <w:widowControl w:val="0"/>
        <w:shd w:val="clear"/>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特别提醒：未按规定在网上下载电子文件的，其投标将被拒绝。</w:t>
      </w:r>
    </w:p>
    <w:p w14:paraId="105EFF0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六、响应文件的递交及开标时间：</w:t>
      </w:r>
    </w:p>
    <w:p w14:paraId="06CC9E8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1、响应文件递交截止时间：202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30分</w:t>
      </w:r>
      <w:r>
        <w:rPr>
          <w:rFonts w:hint="eastAsia" w:ascii="宋体" w:hAnsi="宋体" w:cs="宋体"/>
          <w:color w:val="auto"/>
          <w:sz w:val="24"/>
          <w:szCs w:val="24"/>
          <w:highlight w:val="none"/>
        </w:rPr>
        <w:t>整。</w:t>
      </w:r>
    </w:p>
    <w:p w14:paraId="71BBA449">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2、响应文件递交方式：</w:t>
      </w:r>
    </w:p>
    <w:p w14:paraId="72C4DA3C">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a、各投标人应在响应截止时间前上传加密的电子响应文件到会员系统的指定位置。上传时必须得到电脑“上传成功”的确认回复。请投标人在上传时认真检查上传响应文件是否完整、正确。</w:t>
      </w:r>
    </w:p>
    <w:p w14:paraId="25EAFB43">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b、如系统故障需上传非加密文件时，投标人应按照招标人指示将非加密文件递交给招标人。 </w:t>
      </w:r>
    </w:p>
    <w:p w14:paraId="79C2503F">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c、投标人因交易中心投标系统无法上传电子投标文件时，请在工作时间与焦作市公共资源交易中心联系，联系电话：0391-3568813。</w:t>
      </w:r>
    </w:p>
    <w:p w14:paraId="2D1EB8F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3、询价会议时间：202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8时30分。</w:t>
      </w:r>
    </w:p>
    <w:p w14:paraId="5B040F2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4、询价会议地点：沁阳市公共资源交易中心</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开标室</w:t>
      </w:r>
    </w:p>
    <w:p w14:paraId="43B30D4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七、询价响应文件编制要求：</w:t>
      </w:r>
    </w:p>
    <w:p w14:paraId="0CADCB4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1、投标文件份数：</w:t>
      </w:r>
    </w:p>
    <w:p w14:paraId="73B5C46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加密的电子投标文件壹份（*.jztf 格式，在会员系统指定位置上传）；自备非加密的电子投标文件一份。</w:t>
      </w:r>
    </w:p>
    <w:p w14:paraId="116D18A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2、签字或盖章要求</w:t>
      </w:r>
    </w:p>
    <w:p w14:paraId="3030AFD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（1）所有要求投标人加盖公章的地方都应加盖投标人单位的企业CA签章；</w:t>
      </w:r>
    </w:p>
    <w:p w14:paraId="2F4FBF4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（2）所有要求法定代表人签字的地方应用法定代表人个人CA印章或手写签字的扫描件；</w:t>
      </w:r>
    </w:p>
    <w:p w14:paraId="5AA8B0B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（3）所有要求其委托代理人签字的地方可以用授权委托人手写签字的扫描件。</w:t>
      </w:r>
    </w:p>
    <w:p w14:paraId="3B0E286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（4）按询价文件要求签字、盖章。</w:t>
      </w:r>
    </w:p>
    <w:p w14:paraId="24BA31A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3、询价响应文件须包括但不限于以下内容： </w:t>
      </w:r>
    </w:p>
    <w:p w14:paraId="57B8C70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（1）法定代表人授权书原件；</w:t>
      </w:r>
    </w:p>
    <w:p w14:paraId="11C0DEE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（2）被授权人身份证复印件；</w:t>
      </w:r>
    </w:p>
    <w:p w14:paraId="1E0A0CA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）售后服务的内容及措施与操作规程；</w:t>
      </w:r>
    </w:p>
    <w:p w14:paraId="3EDB083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）供应商提出的合理化建议，供评定时参考，但不作为评定的依据；</w:t>
      </w:r>
    </w:p>
    <w:p w14:paraId="6894F6C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）报价表；</w:t>
      </w:r>
    </w:p>
    <w:p w14:paraId="03E88E8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）供应商应当或认为提供的其它资料</w:t>
      </w:r>
      <w:r>
        <w:rPr>
          <w:rFonts w:hint="eastAsia" w:ascii="宋体" w:hAnsi="宋体" w:cs="宋体"/>
          <w:color w:val="auto"/>
          <w:sz w:val="24"/>
          <w:szCs w:val="24"/>
          <w:highlight w:val="none"/>
          <w:lang w:eastAsia="zh-CN"/>
        </w:rPr>
        <w:t>。</w:t>
      </w:r>
    </w:p>
    <w:p w14:paraId="51EABE9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（以上复印件均须加盖供应商公章）</w:t>
      </w:r>
    </w:p>
    <w:p w14:paraId="5C6A72F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八、供货要求及结算方式：</w:t>
      </w:r>
    </w:p>
    <w:p w14:paraId="6C8597F0">
      <w:pPr>
        <w:keepNext w:val="0"/>
        <w:keepLines w:val="0"/>
        <w:pageBreakBefore w:val="0"/>
        <w:widowControl w:val="0"/>
        <w:shd w:val="clear"/>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rPr>
        <w:t>1、交货地点及运费承担：采购人指定</w:t>
      </w:r>
      <w:r>
        <w:rPr>
          <w:rFonts w:hint="eastAsia" w:ascii="宋体" w:hAnsi="宋体" w:cs="宋体"/>
          <w:color w:val="auto"/>
          <w:sz w:val="24"/>
          <w:szCs w:val="24"/>
          <w:highlight w:val="none"/>
          <w:lang w:eastAsia="zh-CN"/>
        </w:rPr>
        <w:t>地点，</w:t>
      </w:r>
      <w:r>
        <w:rPr>
          <w:rFonts w:hint="eastAsia" w:ascii="宋体" w:hAnsi="宋体" w:cs="宋体"/>
          <w:color w:val="auto"/>
          <w:sz w:val="24"/>
          <w:szCs w:val="24"/>
          <w:highlight w:val="none"/>
        </w:rPr>
        <w:t>运费由供方承担；</w:t>
      </w:r>
    </w:p>
    <w:p w14:paraId="7DD6ED97">
      <w:pPr>
        <w:keepNext w:val="0"/>
        <w:keepLines w:val="0"/>
        <w:pageBreakBefore w:val="0"/>
        <w:widowControl w:val="0"/>
        <w:kinsoku/>
        <w:wordWrap/>
        <w:overflowPunct/>
        <w:topLinePunct w:val="0"/>
        <w:autoSpaceDE/>
        <w:autoSpaceDN/>
        <w:bidi w:val="0"/>
        <w:adjustRightInd/>
        <w:snapToGrid/>
        <w:spacing w:line="540" w:lineRule="exact"/>
        <w:ind w:right="420" w:rightChars="200" w:firstLine="480" w:firstLineChars="200"/>
        <w:jc w:val="both"/>
        <w:textAlignment w:val="auto"/>
        <w:rPr>
          <w:rStyle w:val="62"/>
          <w:rFonts w:hint="default" w:ascii="宋体" w:hAnsi="宋体" w:eastAsiaTheme="minorEastAsia"/>
          <w:b w:val="0"/>
          <w:bCs w:val="0"/>
          <w:color w:val="auto"/>
          <w:sz w:val="24"/>
          <w:szCs w:val="24"/>
          <w:highlight w:val="none"/>
          <w:lang w:val="en-US" w:eastAsia="zh-CN" w:bidi="ar-SA"/>
        </w:rPr>
      </w:pPr>
      <w:r>
        <w:rPr>
          <w:rFonts w:hint="eastAsia" w:ascii="宋体" w:hAnsi="宋体" w:cs="宋体"/>
          <w:color w:val="auto"/>
          <w:sz w:val="24"/>
          <w:szCs w:val="24"/>
          <w:highlight w:val="none"/>
        </w:rPr>
        <w:t>2、付款</w:t>
      </w:r>
      <w:r>
        <w:rPr>
          <w:rFonts w:hint="eastAsia" w:ascii="宋体" w:hAnsi="宋体" w:cs="宋体"/>
          <w:b w:val="0"/>
          <w:bCs w:val="0"/>
          <w:color w:val="auto"/>
          <w:sz w:val="24"/>
          <w:szCs w:val="24"/>
          <w:highlight w:val="none"/>
        </w:rPr>
        <w:t>方式：</w:t>
      </w:r>
      <w:r>
        <w:rPr>
          <w:rFonts w:hint="eastAsia" w:ascii="宋体" w:hAnsi="宋体" w:cs="宋体"/>
          <w:b w:val="0"/>
          <w:bCs w:val="0"/>
          <w:color w:val="auto"/>
          <w:sz w:val="24"/>
          <w:szCs w:val="24"/>
          <w:highlight w:val="none"/>
          <w:lang w:val="en-US" w:eastAsia="zh-CN"/>
        </w:rPr>
        <w:t>项目完成后，经验收部门验收合格后一次性付清。</w:t>
      </w:r>
    </w:p>
    <w:p w14:paraId="5FFC8678">
      <w:pPr>
        <w:keepNext w:val="0"/>
        <w:keepLines w:val="0"/>
        <w:pageBreakBefore w:val="0"/>
        <w:widowControl w:val="0"/>
        <w:shd w:val="clear"/>
        <w:kinsoku/>
        <w:wordWrap/>
        <w:overflowPunct/>
        <w:topLinePunct w:val="0"/>
        <w:autoSpaceDE/>
        <w:autoSpaceDN/>
        <w:bidi w:val="0"/>
        <w:adjustRightInd/>
        <w:snapToGrid/>
        <w:spacing w:line="540" w:lineRule="exact"/>
        <w:ind w:firstLine="480" w:firstLineChars="200"/>
        <w:textAlignment w:val="auto"/>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3、合同履行期限：</w:t>
      </w:r>
      <w:r>
        <w:rPr>
          <w:rFonts w:hint="eastAsia" w:ascii="宋体" w:hAnsi="宋体" w:cs="宋体"/>
          <w:color w:val="auto"/>
          <w:sz w:val="24"/>
          <w:szCs w:val="24"/>
          <w:highlight w:val="none"/>
          <w:lang w:val="en-US" w:eastAsia="zh-CN"/>
        </w:rPr>
        <w:t>合同签订后20</w:t>
      </w:r>
      <w:r>
        <w:rPr>
          <w:rFonts w:hint="eastAsia" w:asciiTheme="minorEastAsia" w:hAnsiTheme="minorEastAsia" w:eastAsiaTheme="minorEastAsia" w:cstheme="minorEastAsia"/>
          <w:color w:val="auto"/>
          <w:sz w:val="24"/>
          <w:szCs w:val="24"/>
          <w:highlight w:val="none"/>
          <w:shd w:val="clear" w:fill="FFFFFF"/>
          <w:lang w:val="en-US" w:eastAsia="zh-CN"/>
        </w:rPr>
        <w:t>日历天</w:t>
      </w:r>
      <w:r>
        <w:rPr>
          <w:rFonts w:hint="eastAsia" w:ascii="宋体" w:hAnsi="宋体" w:cs="宋体"/>
          <w:color w:val="auto"/>
          <w:sz w:val="24"/>
          <w:szCs w:val="24"/>
          <w:highlight w:val="none"/>
          <w:lang w:val="en-US" w:eastAsia="zh-CN"/>
        </w:rPr>
        <w:t>；</w:t>
      </w:r>
    </w:p>
    <w:p w14:paraId="01447BAC">
      <w:pPr>
        <w:keepNext w:val="0"/>
        <w:keepLines w:val="0"/>
        <w:pageBreakBefore w:val="0"/>
        <w:widowControl w:val="0"/>
        <w:shd w:val="clear"/>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宋体" w:hAnsi="宋体" w:cs="宋体"/>
          <w:color w:val="auto"/>
          <w:sz w:val="24"/>
          <w:szCs w:val="24"/>
          <w:highlight w:val="none"/>
        </w:rPr>
        <w:t>4、质量要求：</w:t>
      </w:r>
      <w:r>
        <w:rPr>
          <w:rFonts w:hint="eastAsia" w:asciiTheme="minorEastAsia" w:hAnsiTheme="minorEastAsia" w:cstheme="minorEastAsia"/>
          <w:color w:val="auto"/>
          <w:sz w:val="24"/>
          <w:szCs w:val="24"/>
          <w:highlight w:val="none"/>
          <w:shd w:val="clear" w:fill="FFFFFF"/>
          <w:lang w:val="en-US" w:eastAsia="zh-CN"/>
        </w:rPr>
        <w:t>符合现行国家、行业标准和技术规范的要求。</w:t>
      </w:r>
    </w:p>
    <w:p w14:paraId="3F373289">
      <w:pPr>
        <w:keepNext w:val="0"/>
        <w:keepLines w:val="0"/>
        <w:pageBreakBefore w:val="0"/>
        <w:widowControl w:val="0"/>
        <w:shd w:val="clear"/>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auto"/>
          <w:sz w:val="24"/>
          <w:szCs w:val="24"/>
          <w:highlight w:val="none"/>
          <w:lang w:val="en-US" w:eastAsia="zh-CN"/>
        </w:rPr>
      </w:pPr>
      <w:r>
        <w:rPr>
          <w:rFonts w:hint="eastAsia" w:asciiTheme="minorEastAsia" w:hAnsiTheme="minorEastAsia" w:cstheme="minorEastAsia"/>
          <w:color w:val="auto"/>
          <w:sz w:val="24"/>
          <w:szCs w:val="24"/>
          <w:highlight w:val="none"/>
          <w:shd w:val="clear" w:fill="FFFFFF"/>
          <w:lang w:val="en-US" w:eastAsia="zh-CN"/>
        </w:rPr>
        <w:t>5、验收标准：货物验收时，甲乙双方必须同时在场，双方共同确认货物与响应文件里 要求的规格型号、数量、质量、技术参数和性能等是否一致。乙方所交付的货物不符合合同约定的，甲方有权拒收。乙方应及时按本合同约定和甲方要求免费对拒收货物采取更换或其 他必要的补救措施，直至验收合格，方视为乙方按本合同约定完成交货。验收合格的， 由双 方共同签署《验收报告》；</w:t>
      </w:r>
    </w:p>
    <w:p w14:paraId="7838ED96">
      <w:pPr>
        <w:keepNext w:val="0"/>
        <w:keepLines w:val="0"/>
        <w:pageBreakBefore w:val="0"/>
        <w:widowControl w:val="0"/>
        <w:shd w:val="clea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sz w:val="24"/>
          <w:szCs w:val="24"/>
          <w:highlight w:val="none"/>
        </w:rPr>
        <w:t>响应文件有效期</w:t>
      </w:r>
      <w:r>
        <w:rPr>
          <w:rFonts w:hint="eastAsia" w:ascii="宋体" w:hAnsi="宋体" w:eastAsia="宋体" w:cs="宋体"/>
          <w:sz w:val="24"/>
          <w:szCs w:val="24"/>
          <w:highlight w:val="none"/>
          <w:lang w:eastAsia="zh-CN"/>
        </w:rPr>
        <w:t>：自供应商提交响应性文件截止之日起计算60日历天；</w:t>
      </w:r>
    </w:p>
    <w:p w14:paraId="7849D9A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Theme="minorHAnsi" w:hAnsiTheme="minorHAnsi" w:eastAsiaTheme="minorEastAsia" w:cstheme="minorBidi"/>
          <w:kern w:val="2"/>
          <w:sz w:val="21"/>
          <w:szCs w:val="24"/>
          <w:highlight w:val="none"/>
          <w:lang w:val="en-US" w:eastAsia="zh-CN" w:bidi="ar-SA"/>
        </w:rPr>
      </w:pPr>
      <w:r>
        <w:rPr>
          <w:rFonts w:hint="eastAsia" w:ascii="宋体" w:hAnsi="宋体" w:eastAsia="宋体" w:cs="宋体"/>
          <w:sz w:val="24"/>
          <w:szCs w:val="24"/>
          <w:highlight w:val="none"/>
          <w:lang w:val="en-US" w:eastAsia="zh-CN"/>
        </w:rPr>
        <w:t>7、按照《政府采购促进中小企业发展管理办法》有关规定，中小企业的标准为：</w:t>
      </w:r>
    </w:p>
    <w:p w14:paraId="60DF36C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①提供本企业制造的货物、承担的工程或者服务，或者提供其他中小企业制造的货物，</w:t>
      </w:r>
    </w:p>
    <w:p w14:paraId="148F4511">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不包括提供或使用大型企业注册商标的货物；</w:t>
      </w:r>
    </w:p>
    <w:p w14:paraId="6CE419A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②本规定所称中小企业划分标准，是指国务院有关部门根据企业从业人员、营业收入、 资产总额等指标制定的中小企业划型标准（工信部联企业[2011]300 号）；</w:t>
      </w:r>
    </w:p>
    <w:p w14:paraId="15E4B15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③小型、微型企业提供有中型企业制造的货物的， 视同为中型企业；小型、微型、中型企业提供有大型企业制造的货物的，视同为大型企业。</w:t>
      </w:r>
    </w:p>
    <w:p w14:paraId="40D2E394">
      <w:pPr>
        <w:keepNext w:val="0"/>
        <w:keepLines w:val="0"/>
        <w:pageBreakBefore w:val="0"/>
        <w:widowControl w:val="0"/>
        <w:shd w:val="clea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注：本项目为专门面向中小企业采购的项目，不再执行价格评审优惠的政策。</w:t>
      </w:r>
    </w:p>
    <w:p w14:paraId="0227905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九、采购程序：</w:t>
      </w:r>
    </w:p>
    <w:p w14:paraId="3E9B8FE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1、成立询价小组。询价小组由采购人代表1人及有关专家共三人以上的单数组成，其中专家的人数不得少于成员总数的三分之二。询价小组应当对采购项目的价格构成和评定成交的标准等事项作出规定。</w:t>
      </w:r>
    </w:p>
    <w:p w14:paraId="5AA9CEC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2、采购人、采购代理机构通过发布公告或者采购人和评审专家分别书面推荐的方式邀请不少于3家符合相应资格条件的供应商参与询价采购活动，并向其发出询价通知书让其报价。</w:t>
      </w:r>
    </w:p>
    <w:p w14:paraId="24AD68E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3、询价。询价小组要求被询价的供应商一次报出不得更改的价格。</w:t>
      </w:r>
    </w:p>
    <w:p w14:paraId="67DC479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4、确定成交供应商。采购人根据符合采购需求、质量和服务相等且报价最低的原则确定成交供应商，并将结果通知所有被询价的未成交的供应商。</w:t>
      </w:r>
    </w:p>
    <w:p w14:paraId="5D7E987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十、询价响应文件的澄清与说明：</w:t>
      </w:r>
    </w:p>
    <w:p w14:paraId="5B27832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EC53C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询价小组要求供应商澄清、说明或者更正响应文件应当以书面形式作出。供应商的澄清、说明或者更正应当由法定代表人或其委托代理人签字或者加盖公章。供应商为自然人的，应当由本人签字并附身份证明。</w:t>
      </w:r>
    </w:p>
    <w:p w14:paraId="339D2853">
      <w:pPr>
        <w:keepNext w:val="0"/>
        <w:keepLines w:val="0"/>
        <w:pageBreakBefore w:val="0"/>
        <w:widowControl w:val="0"/>
        <w:numPr>
          <w:ilvl w:val="0"/>
          <w:numId w:val="2"/>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评定成交标准：</w:t>
      </w:r>
    </w:p>
    <w:tbl>
      <w:tblPr>
        <w:tblStyle w:val="28"/>
        <w:tblW w:w="9169" w:type="dxa"/>
        <w:tblInd w:w="210" w:type="dxa"/>
        <w:tblLayout w:type="fixed"/>
        <w:tblCellMar>
          <w:top w:w="0" w:type="dxa"/>
          <w:left w:w="0" w:type="dxa"/>
          <w:bottom w:w="0" w:type="dxa"/>
          <w:right w:w="0" w:type="dxa"/>
        </w:tblCellMar>
      </w:tblPr>
      <w:tblGrid>
        <w:gridCol w:w="1066"/>
        <w:gridCol w:w="2573"/>
        <w:gridCol w:w="5530"/>
      </w:tblGrid>
      <w:tr w14:paraId="7B226786">
        <w:tblPrEx>
          <w:tblCellMar>
            <w:top w:w="0" w:type="dxa"/>
            <w:left w:w="0" w:type="dxa"/>
            <w:bottom w:w="0" w:type="dxa"/>
            <w:right w:w="0" w:type="dxa"/>
          </w:tblCellMar>
        </w:tblPrEx>
        <w:trPr>
          <w:trHeight w:val="511" w:hRule="exact"/>
        </w:trPr>
        <w:tc>
          <w:tcPr>
            <w:tcW w:w="3639" w:type="dxa"/>
            <w:gridSpan w:val="2"/>
            <w:tcBorders>
              <w:top w:val="single" w:color="000000" w:sz="4" w:space="0"/>
              <w:left w:val="single" w:color="000000" w:sz="4" w:space="0"/>
              <w:bottom w:val="single" w:color="000000" w:sz="4" w:space="0"/>
              <w:right w:val="single" w:color="000000" w:sz="4" w:space="0"/>
            </w:tcBorders>
          </w:tcPr>
          <w:p w14:paraId="5B1350AD">
            <w:pPr>
              <w:pStyle w:val="57"/>
              <w:spacing w:before="158" w:line="240" w:lineRule="auto"/>
              <w:ind w:left="103" w:right="0"/>
              <w:jc w:val="center"/>
              <w:rPr>
                <w:rFonts w:ascii="宋体" w:hAnsi="宋体" w:eastAsia="宋体" w:cs="宋体"/>
                <w:sz w:val="21"/>
                <w:szCs w:val="21"/>
                <w:highlight w:val="none"/>
              </w:rPr>
            </w:pPr>
            <w:r>
              <w:rPr>
                <w:rFonts w:ascii="宋体" w:hAnsi="宋体" w:eastAsia="宋体" w:cs="宋体"/>
                <w:b/>
                <w:bCs/>
                <w:sz w:val="21"/>
                <w:szCs w:val="21"/>
                <w:highlight w:val="none"/>
              </w:rPr>
              <w:t>评审因素</w:t>
            </w:r>
            <w:r>
              <w:rPr>
                <w:rFonts w:ascii="宋体" w:hAnsi="宋体" w:eastAsia="宋体" w:cs="宋体"/>
                <w:b/>
                <w:bCs/>
                <w:w w:val="99"/>
                <w:sz w:val="21"/>
                <w:szCs w:val="21"/>
                <w:highlight w:val="none"/>
              </w:rPr>
              <w:t xml:space="preserve"> </w:t>
            </w:r>
          </w:p>
        </w:tc>
        <w:tc>
          <w:tcPr>
            <w:tcW w:w="5530" w:type="dxa"/>
            <w:tcBorders>
              <w:top w:val="single" w:color="000000" w:sz="4" w:space="0"/>
              <w:left w:val="single" w:color="000000" w:sz="4" w:space="0"/>
              <w:bottom w:val="single" w:color="000000" w:sz="4" w:space="0"/>
              <w:right w:val="single" w:color="000000" w:sz="4" w:space="0"/>
            </w:tcBorders>
          </w:tcPr>
          <w:p w14:paraId="6412BFB5">
            <w:pPr>
              <w:pStyle w:val="57"/>
              <w:spacing w:before="158" w:line="240" w:lineRule="auto"/>
              <w:ind w:left="100" w:right="0"/>
              <w:jc w:val="center"/>
              <w:rPr>
                <w:rFonts w:ascii="宋体" w:hAnsi="宋体" w:eastAsia="宋体" w:cs="宋体"/>
                <w:sz w:val="21"/>
                <w:szCs w:val="21"/>
                <w:highlight w:val="none"/>
              </w:rPr>
            </w:pPr>
            <w:r>
              <w:rPr>
                <w:rFonts w:ascii="宋体" w:hAnsi="宋体" w:eastAsia="宋体" w:cs="宋体"/>
                <w:b/>
                <w:bCs/>
                <w:sz w:val="21"/>
                <w:szCs w:val="21"/>
                <w:highlight w:val="none"/>
              </w:rPr>
              <w:t>评审标准</w:t>
            </w:r>
            <w:r>
              <w:rPr>
                <w:rFonts w:ascii="宋体" w:hAnsi="宋体" w:eastAsia="宋体" w:cs="宋体"/>
                <w:b/>
                <w:bCs/>
                <w:w w:val="99"/>
                <w:sz w:val="21"/>
                <w:szCs w:val="21"/>
                <w:highlight w:val="none"/>
              </w:rPr>
              <w:t xml:space="preserve"> </w:t>
            </w:r>
          </w:p>
        </w:tc>
      </w:tr>
      <w:tr w14:paraId="3F1DA45A">
        <w:tblPrEx>
          <w:tblCellMar>
            <w:top w:w="0" w:type="dxa"/>
            <w:left w:w="0" w:type="dxa"/>
            <w:bottom w:w="0" w:type="dxa"/>
            <w:right w:w="0" w:type="dxa"/>
          </w:tblCellMar>
        </w:tblPrEx>
        <w:trPr>
          <w:trHeight w:val="1451" w:hRule="exact"/>
        </w:trPr>
        <w:tc>
          <w:tcPr>
            <w:tcW w:w="1066" w:type="dxa"/>
            <w:vMerge w:val="restart"/>
            <w:tcBorders>
              <w:top w:val="single" w:color="000000" w:sz="4" w:space="0"/>
              <w:left w:val="single" w:color="000000" w:sz="4" w:space="0"/>
              <w:right w:val="single" w:color="000000" w:sz="4" w:space="0"/>
            </w:tcBorders>
          </w:tcPr>
          <w:p w14:paraId="7EDA05E7">
            <w:pPr>
              <w:pStyle w:val="57"/>
              <w:spacing w:before="131" w:line="436" w:lineRule="auto"/>
              <w:ind w:left="316" w:right="103" w:hanging="209"/>
              <w:jc w:val="left"/>
              <w:rPr>
                <w:rFonts w:ascii="宋体" w:hAnsi="宋体" w:eastAsia="宋体" w:cs="宋体"/>
                <w:sz w:val="24"/>
                <w:szCs w:val="24"/>
                <w:highlight w:val="none"/>
              </w:rPr>
            </w:pPr>
          </w:p>
          <w:p w14:paraId="20BC0185">
            <w:pPr>
              <w:pStyle w:val="57"/>
              <w:spacing w:before="131" w:line="436" w:lineRule="auto"/>
              <w:ind w:left="316" w:right="103" w:hanging="209"/>
              <w:jc w:val="left"/>
              <w:rPr>
                <w:rFonts w:ascii="宋体" w:hAnsi="宋体" w:eastAsia="宋体" w:cs="宋体"/>
                <w:sz w:val="24"/>
                <w:szCs w:val="24"/>
                <w:highlight w:val="none"/>
              </w:rPr>
            </w:pPr>
          </w:p>
          <w:p w14:paraId="18058748">
            <w:pPr>
              <w:pStyle w:val="57"/>
              <w:spacing w:before="131" w:line="436" w:lineRule="auto"/>
              <w:ind w:left="307" w:leftChars="146" w:right="103" w:firstLine="0" w:firstLineChars="0"/>
              <w:jc w:val="left"/>
              <w:rPr>
                <w:rFonts w:ascii="宋体" w:hAnsi="宋体" w:eastAsia="宋体" w:cs="宋体"/>
                <w:sz w:val="24"/>
                <w:szCs w:val="24"/>
                <w:highlight w:val="none"/>
              </w:rPr>
            </w:pPr>
          </w:p>
          <w:p w14:paraId="742922CF">
            <w:pPr>
              <w:pStyle w:val="57"/>
              <w:spacing w:before="131" w:line="436" w:lineRule="auto"/>
              <w:ind w:left="307" w:leftChars="146" w:right="103" w:firstLine="0" w:firstLineChars="0"/>
              <w:jc w:val="left"/>
              <w:rPr>
                <w:rFonts w:ascii="宋体" w:hAnsi="宋体" w:eastAsia="宋体" w:cs="宋体"/>
                <w:sz w:val="24"/>
                <w:szCs w:val="24"/>
                <w:highlight w:val="none"/>
              </w:rPr>
            </w:pPr>
          </w:p>
          <w:p w14:paraId="7E2BC55A">
            <w:pPr>
              <w:pStyle w:val="57"/>
              <w:spacing w:before="131" w:line="436" w:lineRule="auto"/>
              <w:ind w:left="307" w:leftChars="146" w:right="103" w:firstLine="0" w:firstLineChars="0"/>
              <w:jc w:val="left"/>
              <w:rPr>
                <w:rFonts w:ascii="宋体" w:hAnsi="宋体" w:eastAsia="宋体" w:cs="宋体"/>
                <w:sz w:val="24"/>
                <w:szCs w:val="24"/>
                <w:highlight w:val="none"/>
              </w:rPr>
            </w:pPr>
          </w:p>
          <w:p w14:paraId="473E557F">
            <w:pPr>
              <w:pStyle w:val="57"/>
              <w:spacing w:before="131" w:line="436" w:lineRule="auto"/>
              <w:ind w:left="307" w:leftChars="146" w:right="103" w:firstLine="0" w:firstLineChars="0"/>
              <w:jc w:val="left"/>
              <w:rPr>
                <w:rFonts w:ascii="宋体" w:hAnsi="宋体" w:eastAsia="宋体" w:cs="宋体"/>
                <w:sz w:val="24"/>
                <w:szCs w:val="24"/>
                <w:highlight w:val="none"/>
              </w:rPr>
            </w:pPr>
            <w:r>
              <w:rPr>
                <w:rFonts w:ascii="宋体" w:hAnsi="宋体" w:eastAsia="宋体" w:cs="宋体"/>
                <w:sz w:val="24"/>
                <w:szCs w:val="24"/>
                <w:highlight w:val="none"/>
              </w:rPr>
              <w:t>资格评审</w:t>
            </w:r>
            <w:r>
              <w:rPr>
                <w:rFonts w:ascii="宋体" w:hAnsi="宋体" w:eastAsia="宋体" w:cs="宋体"/>
                <w:w w:val="100"/>
                <w:sz w:val="24"/>
                <w:szCs w:val="24"/>
                <w:highlight w:val="none"/>
              </w:rPr>
              <w:t xml:space="preserve"> </w:t>
            </w:r>
            <w:r>
              <w:rPr>
                <w:rFonts w:ascii="宋体" w:hAnsi="宋体" w:eastAsia="宋体" w:cs="宋体"/>
                <w:sz w:val="24"/>
                <w:szCs w:val="24"/>
                <w:highlight w:val="none"/>
              </w:rPr>
              <w:t xml:space="preserve">标准 </w:t>
            </w:r>
          </w:p>
        </w:tc>
        <w:tc>
          <w:tcPr>
            <w:tcW w:w="2573" w:type="dxa"/>
            <w:tcBorders>
              <w:top w:val="single" w:color="000000" w:sz="4" w:space="0"/>
              <w:left w:val="single" w:color="000000" w:sz="4" w:space="0"/>
              <w:bottom w:val="single" w:color="000000" w:sz="4" w:space="0"/>
              <w:right w:val="single" w:color="000000" w:sz="4" w:space="0"/>
            </w:tcBorders>
          </w:tcPr>
          <w:p w14:paraId="434B6DC4">
            <w:pPr>
              <w:pStyle w:val="57"/>
              <w:spacing w:before="10" w:line="240" w:lineRule="auto"/>
              <w:ind w:right="0"/>
              <w:jc w:val="center"/>
              <w:rPr>
                <w:rFonts w:hint="eastAsia" w:ascii="宋体" w:hAnsi="宋体" w:cs="宋体" w:eastAsiaTheme="minorEastAsia"/>
                <w:color w:val="auto"/>
                <w:kern w:val="2"/>
                <w:sz w:val="24"/>
                <w:szCs w:val="24"/>
                <w:highlight w:val="none"/>
                <w:lang w:val="en-US" w:eastAsia="zh-CN" w:bidi="ar-SA"/>
              </w:rPr>
            </w:pPr>
          </w:p>
          <w:p w14:paraId="0ADF4DEE">
            <w:pPr>
              <w:pStyle w:val="57"/>
              <w:spacing w:line="273" w:lineRule="auto"/>
              <w:ind w:left="103" w:right="-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符合《中华人民共和国政府采购法》第二十二条规定的条件</w:t>
            </w:r>
          </w:p>
        </w:tc>
        <w:tc>
          <w:tcPr>
            <w:tcW w:w="5530" w:type="dxa"/>
            <w:tcBorders>
              <w:top w:val="single" w:color="000000" w:sz="4" w:space="0"/>
              <w:left w:val="single" w:color="000000" w:sz="4" w:space="0"/>
              <w:bottom w:val="single" w:color="000000" w:sz="4" w:space="0"/>
              <w:right w:val="single" w:color="000000" w:sz="4" w:space="0"/>
            </w:tcBorders>
          </w:tcPr>
          <w:p w14:paraId="6E3D11A6">
            <w:pPr>
              <w:pStyle w:val="57"/>
              <w:spacing w:line="240" w:lineRule="auto"/>
              <w:ind w:right="0"/>
              <w:jc w:val="center"/>
              <w:rPr>
                <w:rFonts w:hint="eastAsia" w:ascii="宋体" w:hAnsi="宋体" w:cs="宋体" w:eastAsiaTheme="minorEastAsia"/>
                <w:color w:val="auto"/>
                <w:kern w:val="2"/>
                <w:sz w:val="24"/>
                <w:szCs w:val="24"/>
                <w:highlight w:val="none"/>
                <w:lang w:val="en-US" w:eastAsia="zh-CN" w:bidi="ar-SA"/>
              </w:rPr>
            </w:pPr>
          </w:p>
          <w:p w14:paraId="5DC6451E">
            <w:pPr>
              <w:pStyle w:val="57"/>
              <w:spacing w:before="4" w:line="240" w:lineRule="auto"/>
              <w:ind w:right="0"/>
              <w:jc w:val="center"/>
              <w:rPr>
                <w:rFonts w:hint="eastAsia" w:ascii="宋体" w:hAnsi="宋体" w:cs="宋体" w:eastAsiaTheme="minorEastAsia"/>
                <w:color w:val="auto"/>
                <w:kern w:val="2"/>
                <w:sz w:val="24"/>
                <w:szCs w:val="24"/>
                <w:highlight w:val="none"/>
                <w:lang w:val="en-US" w:eastAsia="zh-CN" w:bidi="ar-SA"/>
              </w:rPr>
            </w:pPr>
          </w:p>
          <w:p w14:paraId="00DFF14C">
            <w:pPr>
              <w:pStyle w:val="57"/>
              <w:spacing w:line="240" w:lineRule="auto"/>
              <w:ind w:left="235" w:right="0"/>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符合沁阳市政府采购供应商资格信用承诺函要求</w:t>
            </w:r>
          </w:p>
        </w:tc>
      </w:tr>
      <w:tr w14:paraId="5179651B">
        <w:tblPrEx>
          <w:tblCellMar>
            <w:top w:w="0" w:type="dxa"/>
            <w:left w:w="0" w:type="dxa"/>
            <w:bottom w:w="0" w:type="dxa"/>
            <w:right w:w="0" w:type="dxa"/>
          </w:tblCellMar>
        </w:tblPrEx>
        <w:trPr>
          <w:trHeight w:val="3583" w:hRule="exact"/>
        </w:trPr>
        <w:tc>
          <w:tcPr>
            <w:tcW w:w="1066" w:type="dxa"/>
            <w:vMerge w:val="continue"/>
            <w:tcBorders>
              <w:left w:val="single" w:color="000000" w:sz="4" w:space="0"/>
              <w:right w:val="single" w:color="000000" w:sz="4" w:space="0"/>
            </w:tcBorders>
          </w:tcPr>
          <w:p w14:paraId="61B8CA71">
            <w:pPr>
              <w:rPr>
                <w:highlight w:val="none"/>
              </w:rPr>
            </w:pPr>
          </w:p>
        </w:tc>
        <w:tc>
          <w:tcPr>
            <w:tcW w:w="2573" w:type="dxa"/>
            <w:tcBorders>
              <w:top w:val="single" w:color="000000" w:sz="4" w:space="0"/>
              <w:left w:val="single" w:color="000000" w:sz="4" w:space="0"/>
              <w:bottom w:val="single" w:color="auto" w:sz="4" w:space="0"/>
              <w:right w:val="single" w:color="000000" w:sz="4" w:space="0"/>
            </w:tcBorders>
          </w:tcPr>
          <w:p w14:paraId="6D79B225">
            <w:pPr>
              <w:pStyle w:val="57"/>
              <w:spacing w:line="240" w:lineRule="auto"/>
              <w:ind w:right="0"/>
              <w:jc w:val="center"/>
              <w:rPr>
                <w:rFonts w:hint="eastAsia" w:ascii="宋体" w:hAnsi="宋体" w:cs="宋体" w:eastAsiaTheme="minorEastAsia"/>
                <w:color w:val="auto"/>
                <w:kern w:val="2"/>
                <w:sz w:val="24"/>
                <w:szCs w:val="24"/>
                <w:highlight w:val="none"/>
                <w:lang w:val="en-US" w:eastAsia="zh-CN" w:bidi="ar-SA"/>
              </w:rPr>
            </w:pPr>
          </w:p>
          <w:p w14:paraId="465C393E">
            <w:pPr>
              <w:pStyle w:val="57"/>
              <w:spacing w:line="240" w:lineRule="auto"/>
              <w:ind w:right="0"/>
              <w:jc w:val="center"/>
              <w:rPr>
                <w:rFonts w:hint="eastAsia" w:ascii="宋体" w:hAnsi="宋体" w:cs="宋体" w:eastAsiaTheme="minorEastAsia"/>
                <w:color w:val="auto"/>
                <w:kern w:val="2"/>
                <w:sz w:val="24"/>
                <w:szCs w:val="24"/>
                <w:highlight w:val="none"/>
                <w:lang w:val="en-US" w:eastAsia="zh-CN" w:bidi="ar-SA"/>
              </w:rPr>
            </w:pPr>
          </w:p>
          <w:p w14:paraId="5D82FA1D">
            <w:pPr>
              <w:pStyle w:val="57"/>
              <w:spacing w:line="240" w:lineRule="auto"/>
              <w:ind w:right="0"/>
              <w:jc w:val="center"/>
              <w:rPr>
                <w:rFonts w:hint="eastAsia" w:ascii="宋体" w:hAnsi="宋体" w:cs="宋体" w:eastAsiaTheme="minorEastAsia"/>
                <w:color w:val="auto"/>
                <w:kern w:val="2"/>
                <w:sz w:val="24"/>
                <w:szCs w:val="24"/>
                <w:highlight w:val="none"/>
                <w:lang w:val="en-US" w:eastAsia="zh-CN" w:bidi="ar-SA"/>
              </w:rPr>
            </w:pPr>
          </w:p>
          <w:p w14:paraId="051E2574">
            <w:pPr>
              <w:pStyle w:val="57"/>
              <w:spacing w:line="240" w:lineRule="auto"/>
              <w:ind w:right="0"/>
              <w:jc w:val="center"/>
              <w:rPr>
                <w:rFonts w:hint="eastAsia" w:ascii="宋体" w:hAnsi="宋体" w:cs="宋体" w:eastAsiaTheme="minorEastAsia"/>
                <w:color w:val="auto"/>
                <w:kern w:val="2"/>
                <w:sz w:val="24"/>
                <w:szCs w:val="24"/>
                <w:highlight w:val="none"/>
                <w:lang w:val="en-US" w:eastAsia="zh-CN" w:bidi="ar-SA"/>
              </w:rPr>
            </w:pPr>
          </w:p>
          <w:p w14:paraId="638FD2D8">
            <w:pPr>
              <w:pStyle w:val="57"/>
              <w:spacing w:before="5" w:line="240" w:lineRule="auto"/>
              <w:ind w:right="0"/>
              <w:jc w:val="center"/>
              <w:rPr>
                <w:rFonts w:hint="eastAsia" w:ascii="宋体" w:hAnsi="宋体" w:cs="宋体" w:eastAsiaTheme="minorEastAsia"/>
                <w:color w:val="auto"/>
                <w:kern w:val="2"/>
                <w:sz w:val="24"/>
                <w:szCs w:val="24"/>
                <w:highlight w:val="none"/>
                <w:lang w:val="en-US" w:eastAsia="zh-CN" w:bidi="ar-SA"/>
              </w:rPr>
            </w:pPr>
          </w:p>
          <w:p w14:paraId="3B3842AC">
            <w:pPr>
              <w:pStyle w:val="57"/>
              <w:spacing w:line="240" w:lineRule="auto"/>
              <w:ind w:right="0"/>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信用信息查询截图</w:t>
            </w:r>
          </w:p>
        </w:tc>
        <w:tc>
          <w:tcPr>
            <w:tcW w:w="5530" w:type="dxa"/>
            <w:tcBorders>
              <w:top w:val="single" w:color="000000" w:sz="4" w:space="0"/>
              <w:left w:val="single" w:color="000000" w:sz="4" w:space="0"/>
              <w:bottom w:val="single" w:color="000000" w:sz="4" w:space="0"/>
              <w:right w:val="single" w:color="000000" w:sz="4" w:space="0"/>
            </w:tcBorders>
          </w:tcPr>
          <w:p w14:paraId="29546ACD">
            <w:pPr>
              <w:pStyle w:val="57"/>
              <w:spacing w:before="7" w:line="273" w:lineRule="auto"/>
              <w:ind w:left="103" w:right="-1"/>
              <w:jc w:val="left"/>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按照《财政部关于在政府采购活动中查询及使用信用记录有关问题的通知》（财库〔2016〕125号）的要求，根据</w:t>
            </w:r>
            <w:r>
              <w:rPr>
                <w:rFonts w:hint="eastAsia" w:cs="宋体" w:eastAsiaTheme="minorEastAsia"/>
                <w:color w:val="auto"/>
                <w:kern w:val="2"/>
                <w:sz w:val="24"/>
                <w:szCs w:val="24"/>
                <w:highlight w:val="none"/>
                <w:lang w:val="en-US" w:eastAsia="zh-CN" w:bidi="ar-SA"/>
              </w:rPr>
              <w:t>开标</w:t>
            </w:r>
            <w:r>
              <w:rPr>
                <w:rFonts w:hint="eastAsia" w:ascii="宋体" w:hAnsi="宋体" w:cs="宋体" w:eastAsiaTheme="minorEastAsia"/>
                <w:color w:val="auto"/>
                <w:kern w:val="2"/>
                <w:sz w:val="24"/>
                <w:szCs w:val="24"/>
                <w:highlight w:val="none"/>
                <w:lang w:val="en-US" w:eastAsia="zh-CN" w:bidi="ar-SA"/>
              </w:rPr>
              <w:t>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cs="宋体" w:eastAsiaTheme="minorEastAsia"/>
                <w:color w:val="auto"/>
                <w:kern w:val="2"/>
                <w:sz w:val="24"/>
                <w:szCs w:val="24"/>
                <w:highlight w:val="none"/>
                <w:lang w:val="en-US" w:eastAsia="zh-CN" w:bidi="ar-SA"/>
              </w:rPr>
              <w:t>；参与本次采购活动的供应商，其法人代表或主要负责人所在的公司在近三年内没有违法违规行为。</w:t>
            </w:r>
          </w:p>
        </w:tc>
      </w:tr>
      <w:tr w14:paraId="41C57710">
        <w:tblPrEx>
          <w:tblCellMar>
            <w:top w:w="0" w:type="dxa"/>
            <w:left w:w="0" w:type="dxa"/>
            <w:bottom w:w="0" w:type="dxa"/>
            <w:right w:w="0" w:type="dxa"/>
          </w:tblCellMar>
        </w:tblPrEx>
        <w:trPr>
          <w:trHeight w:val="1018" w:hRule="exact"/>
        </w:trPr>
        <w:tc>
          <w:tcPr>
            <w:tcW w:w="1066" w:type="dxa"/>
            <w:vMerge w:val="continue"/>
            <w:tcBorders>
              <w:left w:val="single" w:color="000000" w:sz="4" w:space="0"/>
              <w:right w:val="single" w:color="000000" w:sz="4" w:space="0"/>
            </w:tcBorders>
          </w:tcPr>
          <w:p w14:paraId="6A6AF8E9">
            <w:pPr>
              <w:rPr>
                <w:highlight w:val="none"/>
              </w:rPr>
            </w:pPr>
          </w:p>
        </w:tc>
        <w:tc>
          <w:tcPr>
            <w:tcW w:w="2573" w:type="dxa"/>
            <w:tcBorders>
              <w:top w:val="single" w:color="000000" w:sz="4" w:space="0"/>
              <w:left w:val="single" w:color="000000" w:sz="4" w:space="0"/>
              <w:bottom w:val="single" w:color="auto" w:sz="4" w:space="0"/>
              <w:right w:val="single" w:color="000000" w:sz="4" w:space="0"/>
            </w:tcBorders>
          </w:tcPr>
          <w:p w14:paraId="66996D1B">
            <w:pPr>
              <w:pStyle w:val="57"/>
              <w:spacing w:line="273" w:lineRule="auto"/>
              <w:ind w:left="103" w:right="-3"/>
              <w:jc w:val="center"/>
              <w:rPr>
                <w:rFonts w:hint="eastAsia" w:ascii="宋体" w:hAnsi="宋体" w:cs="宋体" w:eastAsiaTheme="minorEastAsia"/>
                <w:color w:val="auto"/>
                <w:kern w:val="2"/>
                <w:sz w:val="24"/>
                <w:szCs w:val="24"/>
                <w:highlight w:val="none"/>
                <w:lang w:val="en-US" w:eastAsia="zh-CN" w:bidi="ar-SA"/>
              </w:rPr>
            </w:pPr>
          </w:p>
          <w:p w14:paraId="2FA5A6D2">
            <w:pPr>
              <w:pStyle w:val="57"/>
              <w:spacing w:line="273" w:lineRule="auto"/>
              <w:ind w:left="103" w:right="-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中小企业声明函</w:t>
            </w:r>
          </w:p>
        </w:tc>
        <w:tc>
          <w:tcPr>
            <w:tcW w:w="5530" w:type="dxa"/>
            <w:tcBorders>
              <w:top w:val="single" w:color="000000" w:sz="4" w:space="0"/>
              <w:left w:val="single" w:color="000000" w:sz="4" w:space="0"/>
              <w:bottom w:val="single" w:color="000000" w:sz="4" w:space="0"/>
              <w:right w:val="single" w:color="000000" w:sz="4" w:space="0"/>
            </w:tcBorders>
          </w:tcPr>
          <w:p w14:paraId="2D728F0A">
            <w:pPr>
              <w:pStyle w:val="57"/>
              <w:spacing w:line="273" w:lineRule="auto"/>
              <w:ind w:left="103" w:right="-3"/>
              <w:jc w:val="center"/>
              <w:rPr>
                <w:rFonts w:hint="eastAsia" w:ascii="宋体" w:hAnsi="宋体" w:cs="宋体" w:eastAsiaTheme="minorEastAsia"/>
                <w:color w:val="auto"/>
                <w:kern w:val="2"/>
                <w:sz w:val="24"/>
                <w:szCs w:val="24"/>
                <w:highlight w:val="none"/>
                <w:lang w:val="en-US" w:eastAsia="zh-CN" w:bidi="ar-SA"/>
              </w:rPr>
            </w:pPr>
          </w:p>
          <w:p w14:paraId="315A1536">
            <w:pPr>
              <w:pStyle w:val="57"/>
              <w:spacing w:line="273" w:lineRule="auto"/>
              <w:ind w:left="103" w:right="-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符合本项目专门面向中小企业</w:t>
            </w:r>
          </w:p>
        </w:tc>
      </w:tr>
      <w:tr w14:paraId="3E548E0F">
        <w:tblPrEx>
          <w:tblCellMar>
            <w:top w:w="0" w:type="dxa"/>
            <w:left w:w="0" w:type="dxa"/>
            <w:bottom w:w="0" w:type="dxa"/>
            <w:right w:w="0" w:type="dxa"/>
          </w:tblCellMar>
        </w:tblPrEx>
        <w:trPr>
          <w:trHeight w:val="2372" w:hRule="exact"/>
        </w:trPr>
        <w:tc>
          <w:tcPr>
            <w:tcW w:w="1066" w:type="dxa"/>
            <w:vMerge w:val="continue"/>
            <w:tcBorders>
              <w:left w:val="single" w:color="000000" w:sz="4" w:space="0"/>
              <w:bottom w:val="single" w:color="auto" w:sz="4" w:space="0"/>
              <w:right w:val="single" w:color="000000" w:sz="4" w:space="0"/>
            </w:tcBorders>
          </w:tcPr>
          <w:p w14:paraId="4A409A95">
            <w:pPr>
              <w:rPr>
                <w:highlight w:val="none"/>
              </w:rPr>
            </w:pPr>
          </w:p>
        </w:tc>
        <w:tc>
          <w:tcPr>
            <w:tcW w:w="2573" w:type="dxa"/>
            <w:tcBorders>
              <w:top w:val="single" w:color="000000" w:sz="4" w:space="0"/>
              <w:left w:val="single" w:color="000000" w:sz="4" w:space="0"/>
              <w:bottom w:val="single" w:color="auto" w:sz="4" w:space="0"/>
              <w:right w:val="single" w:color="000000" w:sz="4" w:space="0"/>
            </w:tcBorders>
          </w:tcPr>
          <w:p w14:paraId="13500C5B">
            <w:pPr>
              <w:pStyle w:val="57"/>
              <w:spacing w:line="273" w:lineRule="auto"/>
              <w:ind w:left="103" w:right="-3"/>
              <w:jc w:val="center"/>
              <w:rPr>
                <w:rFonts w:hint="eastAsia" w:ascii="宋体" w:hAnsi="宋体" w:cs="宋体" w:eastAsiaTheme="minorEastAsia"/>
                <w:color w:val="auto"/>
                <w:kern w:val="2"/>
                <w:sz w:val="24"/>
                <w:szCs w:val="24"/>
                <w:highlight w:val="none"/>
                <w:lang w:val="en-US" w:eastAsia="zh-CN" w:bidi="ar-SA"/>
              </w:rPr>
            </w:pPr>
          </w:p>
          <w:p w14:paraId="5B775A70">
            <w:pPr>
              <w:pStyle w:val="57"/>
              <w:spacing w:line="273" w:lineRule="auto"/>
              <w:ind w:left="103" w:right="-3"/>
              <w:jc w:val="center"/>
              <w:rPr>
                <w:rFonts w:hint="eastAsia" w:ascii="宋体" w:hAnsi="宋体" w:cs="宋体" w:eastAsiaTheme="minorEastAsia"/>
                <w:color w:val="auto"/>
                <w:kern w:val="2"/>
                <w:sz w:val="24"/>
                <w:szCs w:val="24"/>
                <w:highlight w:val="none"/>
                <w:lang w:val="en-US" w:eastAsia="zh-CN" w:bidi="ar-SA"/>
              </w:rPr>
            </w:pPr>
          </w:p>
          <w:p w14:paraId="31B7F95C">
            <w:pPr>
              <w:pStyle w:val="57"/>
              <w:spacing w:line="273" w:lineRule="auto"/>
              <w:ind w:left="103" w:right="-3"/>
              <w:jc w:val="center"/>
              <w:rPr>
                <w:rFonts w:hint="eastAsia" w:ascii="宋体" w:hAnsi="宋体" w:cs="宋体" w:eastAsiaTheme="minorEastAsia"/>
                <w:color w:val="auto"/>
                <w:kern w:val="2"/>
                <w:sz w:val="24"/>
                <w:szCs w:val="24"/>
                <w:highlight w:val="none"/>
                <w:lang w:val="en-US" w:eastAsia="zh-CN" w:bidi="ar-SA"/>
              </w:rPr>
            </w:pPr>
          </w:p>
          <w:p w14:paraId="42F034E2">
            <w:pPr>
              <w:pStyle w:val="57"/>
              <w:spacing w:line="273" w:lineRule="auto"/>
              <w:ind w:left="103" w:right="-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特定资格要求</w:t>
            </w:r>
          </w:p>
        </w:tc>
        <w:tc>
          <w:tcPr>
            <w:tcW w:w="5530" w:type="dxa"/>
            <w:tcBorders>
              <w:top w:val="single" w:color="000000" w:sz="4" w:space="0"/>
              <w:left w:val="single" w:color="000000" w:sz="4" w:space="0"/>
              <w:bottom w:val="single" w:color="auto" w:sz="4" w:space="0"/>
              <w:right w:val="single" w:color="000000" w:sz="4" w:space="0"/>
            </w:tcBorders>
            <w:shd w:val="clear" w:color="auto" w:fill="auto"/>
            <w:vAlign w:val="center"/>
          </w:tcPr>
          <w:p w14:paraId="2E844DC5">
            <w:pPr>
              <w:pStyle w:val="57"/>
              <w:spacing w:line="273" w:lineRule="auto"/>
              <w:ind w:left="103" w:right="-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供应商为生产企业的须提供农药产品三证（农药登记证、产品质量标准证、农药生产许可证或者农药生产批准文件）；供应商为经销商的须提供在有效期内的农药经营许可证，所投产品生产企业的农药产品三证（农药登记证、产品质量标准证、农药生产许可证）；农药登记作物适用作物必须包含小麦；</w:t>
            </w:r>
          </w:p>
          <w:p w14:paraId="14E647F5">
            <w:pPr>
              <w:pStyle w:val="57"/>
              <w:spacing w:line="273" w:lineRule="auto"/>
              <w:ind w:left="103" w:right="-3"/>
              <w:jc w:val="center"/>
              <w:rPr>
                <w:rFonts w:hint="eastAsia" w:ascii="宋体" w:hAnsi="宋体" w:cs="宋体" w:eastAsiaTheme="minorEastAsia"/>
                <w:color w:val="auto"/>
                <w:kern w:val="2"/>
                <w:sz w:val="24"/>
                <w:szCs w:val="24"/>
                <w:highlight w:val="none"/>
                <w:lang w:val="en-US" w:eastAsia="zh-CN" w:bidi="ar-SA"/>
              </w:rPr>
            </w:pPr>
          </w:p>
        </w:tc>
      </w:tr>
      <w:tr w14:paraId="7FAE8456">
        <w:tblPrEx>
          <w:tblCellMar>
            <w:top w:w="0" w:type="dxa"/>
            <w:left w:w="0" w:type="dxa"/>
            <w:bottom w:w="0" w:type="dxa"/>
            <w:right w:w="0" w:type="dxa"/>
          </w:tblCellMar>
        </w:tblPrEx>
        <w:trPr>
          <w:trHeight w:val="777" w:hRule="exact"/>
        </w:trPr>
        <w:tc>
          <w:tcPr>
            <w:tcW w:w="1066" w:type="dxa"/>
            <w:vMerge w:val="restart"/>
            <w:tcBorders>
              <w:top w:val="single" w:color="auto" w:sz="4" w:space="0"/>
              <w:left w:val="single" w:color="auto" w:sz="4" w:space="0"/>
              <w:bottom w:val="single" w:color="auto" w:sz="4" w:space="0"/>
              <w:right w:val="single" w:color="auto" w:sz="4" w:space="0"/>
            </w:tcBorders>
          </w:tcPr>
          <w:p w14:paraId="33814AF3">
            <w:pPr>
              <w:pStyle w:val="57"/>
              <w:spacing w:line="240" w:lineRule="auto"/>
              <w:ind w:right="0"/>
              <w:jc w:val="center"/>
              <w:rPr>
                <w:rFonts w:ascii="宋体" w:hAnsi="宋体" w:eastAsia="宋体" w:cs="宋体"/>
                <w:sz w:val="20"/>
                <w:szCs w:val="20"/>
                <w:highlight w:val="none"/>
              </w:rPr>
            </w:pPr>
          </w:p>
          <w:p w14:paraId="3FA6C552">
            <w:pPr>
              <w:pStyle w:val="57"/>
              <w:spacing w:before="1" w:line="240" w:lineRule="auto"/>
              <w:ind w:right="0"/>
              <w:jc w:val="center"/>
              <w:rPr>
                <w:rFonts w:ascii="宋体" w:hAnsi="宋体" w:eastAsia="宋体" w:cs="宋体"/>
                <w:sz w:val="16"/>
                <w:szCs w:val="16"/>
                <w:highlight w:val="none"/>
              </w:rPr>
            </w:pPr>
          </w:p>
          <w:p w14:paraId="611DCFF7">
            <w:pPr>
              <w:pStyle w:val="57"/>
              <w:spacing w:line="439" w:lineRule="auto"/>
              <w:ind w:left="211" w:right="103" w:hanging="104"/>
              <w:jc w:val="center"/>
              <w:rPr>
                <w:rFonts w:ascii="宋体" w:hAnsi="宋体" w:eastAsia="宋体" w:cs="宋体"/>
                <w:sz w:val="21"/>
                <w:szCs w:val="21"/>
                <w:highlight w:val="none"/>
              </w:rPr>
            </w:pPr>
          </w:p>
          <w:p w14:paraId="090A1A6D">
            <w:pPr>
              <w:pStyle w:val="57"/>
              <w:spacing w:line="439" w:lineRule="auto"/>
              <w:ind w:left="211" w:right="103" w:hanging="104"/>
              <w:jc w:val="center"/>
              <w:rPr>
                <w:rFonts w:ascii="宋体" w:hAnsi="宋体" w:eastAsia="宋体" w:cs="宋体"/>
                <w:sz w:val="24"/>
                <w:szCs w:val="24"/>
                <w:highlight w:val="none"/>
              </w:rPr>
            </w:pPr>
          </w:p>
          <w:p w14:paraId="75D0641A">
            <w:pPr>
              <w:pStyle w:val="57"/>
              <w:spacing w:line="439" w:lineRule="auto"/>
              <w:ind w:left="211" w:right="103" w:hanging="104"/>
              <w:jc w:val="center"/>
              <w:rPr>
                <w:rFonts w:ascii="宋体" w:hAnsi="宋体" w:eastAsia="宋体" w:cs="宋体"/>
                <w:sz w:val="24"/>
                <w:szCs w:val="24"/>
                <w:highlight w:val="none"/>
              </w:rPr>
            </w:pPr>
          </w:p>
          <w:p w14:paraId="7460871E">
            <w:pPr>
              <w:pStyle w:val="57"/>
              <w:spacing w:line="439" w:lineRule="auto"/>
              <w:ind w:left="211" w:right="103" w:hanging="104"/>
              <w:jc w:val="center"/>
              <w:rPr>
                <w:highlight w:val="none"/>
              </w:rPr>
            </w:pPr>
            <w:r>
              <w:rPr>
                <w:rFonts w:hint="eastAsia" w:cs="宋体"/>
                <w:sz w:val="24"/>
                <w:szCs w:val="24"/>
                <w:highlight w:val="none"/>
                <w:lang w:val="en-US" w:eastAsia="zh-CN"/>
              </w:rPr>
              <w:t xml:space="preserve"> </w:t>
            </w:r>
            <w:r>
              <w:rPr>
                <w:rFonts w:ascii="宋体" w:hAnsi="宋体" w:eastAsia="宋体" w:cs="宋体"/>
                <w:sz w:val="24"/>
                <w:szCs w:val="24"/>
                <w:highlight w:val="none"/>
              </w:rPr>
              <w:t>符合性评审标准</w:t>
            </w:r>
          </w:p>
        </w:tc>
        <w:tc>
          <w:tcPr>
            <w:tcW w:w="2573" w:type="dxa"/>
            <w:tcBorders>
              <w:top w:val="single" w:color="auto" w:sz="4" w:space="0"/>
              <w:left w:val="single" w:color="auto" w:sz="4" w:space="0"/>
              <w:bottom w:val="single" w:color="auto" w:sz="4" w:space="0"/>
              <w:right w:val="single" w:color="auto" w:sz="4" w:space="0"/>
            </w:tcBorders>
            <w:vAlign w:val="center"/>
          </w:tcPr>
          <w:p w14:paraId="2A09CBDF">
            <w:pPr>
              <w:pStyle w:val="57"/>
              <w:spacing w:line="273" w:lineRule="auto"/>
              <w:ind w:right="11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投标承诺函签字盖章</w:t>
            </w:r>
          </w:p>
        </w:tc>
        <w:tc>
          <w:tcPr>
            <w:tcW w:w="5530" w:type="dxa"/>
            <w:tcBorders>
              <w:top w:val="single" w:color="auto" w:sz="4" w:space="0"/>
              <w:left w:val="single" w:color="auto" w:sz="4" w:space="0"/>
              <w:bottom w:val="single" w:color="auto" w:sz="4" w:space="0"/>
              <w:right w:val="single" w:color="auto" w:sz="4" w:space="0"/>
            </w:tcBorders>
            <w:vAlign w:val="center"/>
          </w:tcPr>
          <w:p w14:paraId="7CE4E621">
            <w:pPr>
              <w:pStyle w:val="57"/>
              <w:spacing w:line="273" w:lineRule="auto"/>
              <w:ind w:left="103" w:right="11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加盖单位公章并有法定代表人或其委托代理人签字或盖章</w:t>
            </w:r>
          </w:p>
        </w:tc>
      </w:tr>
      <w:tr w14:paraId="2157652A">
        <w:tblPrEx>
          <w:tblCellMar>
            <w:top w:w="0" w:type="dxa"/>
            <w:left w:w="0" w:type="dxa"/>
            <w:bottom w:w="0" w:type="dxa"/>
            <w:right w:w="0" w:type="dxa"/>
          </w:tblCellMar>
        </w:tblPrEx>
        <w:trPr>
          <w:trHeight w:val="951" w:hRule="exact"/>
        </w:trPr>
        <w:tc>
          <w:tcPr>
            <w:tcW w:w="1066" w:type="dxa"/>
            <w:vMerge w:val="continue"/>
            <w:tcBorders>
              <w:top w:val="single" w:color="auto" w:sz="4" w:space="0"/>
              <w:left w:val="single" w:color="auto" w:sz="4" w:space="0"/>
              <w:bottom w:val="single" w:color="auto" w:sz="4" w:space="0"/>
              <w:right w:val="single" w:color="auto" w:sz="4" w:space="0"/>
            </w:tcBorders>
          </w:tcPr>
          <w:p w14:paraId="1DDB07D4">
            <w:pPr>
              <w:rPr>
                <w:rFonts w:ascii="宋体" w:hAnsi="宋体" w:eastAsia="宋体" w:cs="宋体"/>
                <w:sz w:val="21"/>
                <w:szCs w:val="21"/>
                <w:highlight w:val="none"/>
              </w:rPr>
            </w:pPr>
          </w:p>
        </w:tc>
        <w:tc>
          <w:tcPr>
            <w:tcW w:w="2573" w:type="dxa"/>
            <w:tcBorders>
              <w:top w:val="single" w:color="auto" w:sz="4" w:space="0"/>
              <w:left w:val="single" w:color="auto" w:sz="4" w:space="0"/>
              <w:bottom w:val="single" w:color="auto" w:sz="4" w:space="0"/>
              <w:right w:val="single" w:color="auto" w:sz="4" w:space="0"/>
            </w:tcBorders>
            <w:vAlign w:val="center"/>
          </w:tcPr>
          <w:p w14:paraId="2C407CDA">
            <w:pPr>
              <w:pStyle w:val="57"/>
              <w:spacing w:line="273" w:lineRule="auto"/>
              <w:ind w:right="11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响应文件格式</w:t>
            </w:r>
          </w:p>
        </w:tc>
        <w:tc>
          <w:tcPr>
            <w:tcW w:w="5530" w:type="dxa"/>
            <w:tcBorders>
              <w:top w:val="single" w:color="auto" w:sz="4" w:space="0"/>
              <w:left w:val="single" w:color="auto" w:sz="4" w:space="0"/>
              <w:bottom w:val="single" w:color="auto" w:sz="4" w:space="0"/>
              <w:right w:val="single" w:color="auto" w:sz="4" w:space="0"/>
            </w:tcBorders>
            <w:vAlign w:val="center"/>
          </w:tcPr>
          <w:p w14:paraId="2B84909E">
            <w:pPr>
              <w:pStyle w:val="57"/>
              <w:spacing w:line="273" w:lineRule="auto"/>
              <w:ind w:left="103" w:right="11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符合询价文件第七条“询价响应文件编制要求”和附件格式要求</w:t>
            </w:r>
          </w:p>
        </w:tc>
      </w:tr>
      <w:tr w14:paraId="436DE28D">
        <w:tblPrEx>
          <w:tblCellMar>
            <w:top w:w="0" w:type="dxa"/>
            <w:left w:w="0" w:type="dxa"/>
            <w:bottom w:w="0" w:type="dxa"/>
            <w:right w:w="0" w:type="dxa"/>
          </w:tblCellMar>
        </w:tblPrEx>
        <w:trPr>
          <w:trHeight w:val="810" w:hRule="exact"/>
        </w:trPr>
        <w:tc>
          <w:tcPr>
            <w:tcW w:w="1066" w:type="dxa"/>
            <w:vMerge w:val="continue"/>
            <w:tcBorders>
              <w:top w:val="single" w:color="auto" w:sz="4" w:space="0"/>
              <w:left w:val="single" w:color="auto" w:sz="4" w:space="0"/>
              <w:bottom w:val="single" w:color="auto" w:sz="4" w:space="0"/>
              <w:right w:val="single" w:color="auto" w:sz="4" w:space="0"/>
            </w:tcBorders>
          </w:tcPr>
          <w:p w14:paraId="4408B446">
            <w:pPr>
              <w:rPr>
                <w:highlight w:val="none"/>
              </w:rPr>
            </w:pPr>
          </w:p>
        </w:tc>
        <w:tc>
          <w:tcPr>
            <w:tcW w:w="2573" w:type="dxa"/>
            <w:tcBorders>
              <w:top w:val="single" w:color="auto" w:sz="4" w:space="0"/>
              <w:left w:val="single" w:color="auto" w:sz="4" w:space="0"/>
              <w:bottom w:val="single" w:color="auto" w:sz="4" w:space="0"/>
              <w:right w:val="single" w:color="auto" w:sz="4" w:space="0"/>
            </w:tcBorders>
            <w:vAlign w:val="center"/>
          </w:tcPr>
          <w:p w14:paraId="29CBB77A">
            <w:pPr>
              <w:pStyle w:val="57"/>
              <w:spacing w:line="273" w:lineRule="auto"/>
              <w:ind w:right="11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付款方式</w:t>
            </w:r>
          </w:p>
        </w:tc>
        <w:tc>
          <w:tcPr>
            <w:tcW w:w="5530" w:type="dxa"/>
            <w:tcBorders>
              <w:top w:val="single" w:color="auto" w:sz="4" w:space="0"/>
              <w:left w:val="single" w:color="auto" w:sz="4" w:space="0"/>
              <w:bottom w:val="single" w:color="auto" w:sz="4" w:space="0"/>
              <w:right w:val="single" w:color="auto" w:sz="4" w:space="0"/>
            </w:tcBorders>
            <w:vAlign w:val="center"/>
          </w:tcPr>
          <w:p w14:paraId="6251BD21">
            <w:pPr>
              <w:pStyle w:val="57"/>
              <w:spacing w:line="273" w:lineRule="auto"/>
              <w:ind w:right="11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符合本询价文件付款方式的要求</w:t>
            </w:r>
          </w:p>
        </w:tc>
      </w:tr>
      <w:tr w14:paraId="47727553">
        <w:tblPrEx>
          <w:tblCellMar>
            <w:top w:w="0" w:type="dxa"/>
            <w:left w:w="0" w:type="dxa"/>
            <w:bottom w:w="0" w:type="dxa"/>
            <w:right w:w="0" w:type="dxa"/>
          </w:tblCellMar>
        </w:tblPrEx>
        <w:trPr>
          <w:trHeight w:val="1842" w:hRule="exact"/>
        </w:trPr>
        <w:tc>
          <w:tcPr>
            <w:tcW w:w="1066" w:type="dxa"/>
            <w:vMerge w:val="continue"/>
            <w:tcBorders>
              <w:top w:val="single" w:color="auto" w:sz="4" w:space="0"/>
              <w:left w:val="single" w:color="auto" w:sz="4" w:space="0"/>
              <w:bottom w:val="single" w:color="auto" w:sz="4" w:space="0"/>
              <w:right w:val="single" w:color="auto" w:sz="4" w:space="0"/>
            </w:tcBorders>
          </w:tcPr>
          <w:p w14:paraId="5C77A6C2">
            <w:pPr>
              <w:rPr>
                <w:highlight w:val="none"/>
              </w:rPr>
            </w:pPr>
          </w:p>
        </w:tc>
        <w:tc>
          <w:tcPr>
            <w:tcW w:w="2573" w:type="dxa"/>
            <w:tcBorders>
              <w:top w:val="single" w:color="auto" w:sz="4" w:space="0"/>
              <w:left w:val="single" w:color="auto" w:sz="4" w:space="0"/>
              <w:bottom w:val="single" w:color="auto" w:sz="4" w:space="0"/>
              <w:right w:val="single" w:color="auto" w:sz="4" w:space="0"/>
            </w:tcBorders>
            <w:vAlign w:val="center"/>
          </w:tcPr>
          <w:p w14:paraId="67E4E4F2">
            <w:pPr>
              <w:pStyle w:val="57"/>
              <w:spacing w:line="273" w:lineRule="auto"/>
              <w:ind w:right="11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投标技术参数</w:t>
            </w:r>
          </w:p>
        </w:tc>
        <w:tc>
          <w:tcPr>
            <w:tcW w:w="5530" w:type="dxa"/>
            <w:tcBorders>
              <w:top w:val="single" w:color="auto" w:sz="4" w:space="0"/>
              <w:left w:val="single" w:color="auto" w:sz="4" w:space="0"/>
              <w:bottom w:val="single" w:color="auto" w:sz="4" w:space="0"/>
              <w:right w:val="single" w:color="auto" w:sz="4" w:space="0"/>
            </w:tcBorders>
            <w:vAlign w:val="center"/>
          </w:tcPr>
          <w:p w14:paraId="1DF75917">
            <w:pPr>
              <w:pStyle w:val="57"/>
              <w:spacing w:line="273" w:lineRule="auto"/>
              <w:ind w:left="103" w:right="11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符合本项目参数要求的规定，询价文件中产品的参数、规格为基础性要求，投标人可提供质量性能参数相等或优于的产品，如不满足评标委员会有权按照实质性判断原则评定其为无效投标做废标处理。</w:t>
            </w:r>
          </w:p>
        </w:tc>
      </w:tr>
      <w:tr w14:paraId="613B4710">
        <w:tblPrEx>
          <w:tblCellMar>
            <w:top w:w="0" w:type="dxa"/>
            <w:left w:w="0" w:type="dxa"/>
            <w:bottom w:w="0" w:type="dxa"/>
            <w:right w:w="0" w:type="dxa"/>
          </w:tblCellMar>
        </w:tblPrEx>
        <w:trPr>
          <w:trHeight w:val="835" w:hRule="exact"/>
        </w:trPr>
        <w:tc>
          <w:tcPr>
            <w:tcW w:w="1066" w:type="dxa"/>
            <w:vMerge w:val="continue"/>
            <w:tcBorders>
              <w:top w:val="single" w:color="auto" w:sz="4" w:space="0"/>
              <w:left w:val="single" w:color="auto" w:sz="4" w:space="0"/>
              <w:bottom w:val="single" w:color="auto" w:sz="4" w:space="0"/>
              <w:right w:val="single" w:color="auto" w:sz="4" w:space="0"/>
            </w:tcBorders>
          </w:tcPr>
          <w:p w14:paraId="4A407EEF">
            <w:pPr>
              <w:rPr>
                <w:highlight w:val="none"/>
              </w:rPr>
            </w:pPr>
          </w:p>
        </w:tc>
        <w:tc>
          <w:tcPr>
            <w:tcW w:w="2573" w:type="dxa"/>
            <w:tcBorders>
              <w:top w:val="single" w:color="auto" w:sz="4" w:space="0"/>
              <w:left w:val="single" w:color="auto" w:sz="4" w:space="0"/>
              <w:bottom w:val="single" w:color="auto" w:sz="4" w:space="0"/>
              <w:right w:val="single" w:color="auto" w:sz="4" w:space="0"/>
            </w:tcBorders>
            <w:vAlign w:val="center"/>
          </w:tcPr>
          <w:p w14:paraId="4C666C4C">
            <w:pPr>
              <w:pStyle w:val="57"/>
              <w:spacing w:line="273" w:lineRule="auto"/>
              <w:ind w:left="103" w:right="11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合同履行期限</w:t>
            </w:r>
          </w:p>
        </w:tc>
        <w:tc>
          <w:tcPr>
            <w:tcW w:w="5530" w:type="dxa"/>
            <w:tcBorders>
              <w:top w:val="single" w:color="auto" w:sz="4" w:space="0"/>
              <w:left w:val="single" w:color="auto" w:sz="4" w:space="0"/>
              <w:bottom w:val="single" w:color="auto" w:sz="4" w:space="0"/>
              <w:right w:val="single" w:color="auto" w:sz="4" w:space="0"/>
            </w:tcBorders>
            <w:vAlign w:val="center"/>
          </w:tcPr>
          <w:p w14:paraId="66F23C56">
            <w:pPr>
              <w:pStyle w:val="57"/>
              <w:spacing w:line="273" w:lineRule="auto"/>
              <w:ind w:left="103" w:right="113"/>
              <w:jc w:val="both"/>
              <w:rPr>
                <w:rFonts w:hint="eastAsia" w:ascii="宋体" w:hAnsi="宋体" w:cs="宋体" w:eastAsiaTheme="minorEastAsia"/>
                <w:color w:val="auto"/>
                <w:kern w:val="2"/>
                <w:sz w:val="24"/>
                <w:szCs w:val="24"/>
                <w:highlight w:val="none"/>
                <w:lang w:val="en-US" w:eastAsia="zh-CN" w:bidi="ar-SA"/>
              </w:rPr>
            </w:pPr>
            <w:r>
              <w:rPr>
                <w:rFonts w:hint="eastAsia" w:cs="宋体" w:eastAsiaTheme="minorEastAsia"/>
                <w:color w:val="auto"/>
                <w:kern w:val="2"/>
                <w:sz w:val="24"/>
                <w:szCs w:val="24"/>
                <w:highlight w:val="none"/>
                <w:lang w:val="en-US" w:eastAsia="zh-CN" w:bidi="ar-SA"/>
              </w:rPr>
              <w:t>20</w:t>
            </w:r>
            <w:r>
              <w:rPr>
                <w:rFonts w:hint="eastAsia" w:ascii="宋体" w:hAnsi="宋体" w:cs="宋体" w:eastAsiaTheme="minorEastAsia"/>
                <w:color w:val="auto"/>
                <w:kern w:val="2"/>
                <w:sz w:val="24"/>
                <w:szCs w:val="24"/>
                <w:highlight w:val="none"/>
                <w:lang w:val="en-US" w:eastAsia="zh-CN" w:bidi="ar-SA"/>
              </w:rPr>
              <w:t>日历天</w:t>
            </w:r>
          </w:p>
        </w:tc>
      </w:tr>
      <w:tr w14:paraId="706EC49B">
        <w:tblPrEx>
          <w:tblCellMar>
            <w:top w:w="0" w:type="dxa"/>
            <w:left w:w="0" w:type="dxa"/>
            <w:bottom w:w="0" w:type="dxa"/>
            <w:right w:w="0" w:type="dxa"/>
          </w:tblCellMar>
        </w:tblPrEx>
        <w:trPr>
          <w:trHeight w:val="689" w:hRule="exact"/>
        </w:trPr>
        <w:tc>
          <w:tcPr>
            <w:tcW w:w="1066" w:type="dxa"/>
            <w:vMerge w:val="continue"/>
            <w:tcBorders>
              <w:top w:val="single" w:color="auto" w:sz="4" w:space="0"/>
              <w:left w:val="single" w:color="auto" w:sz="4" w:space="0"/>
              <w:bottom w:val="single" w:color="auto" w:sz="4" w:space="0"/>
              <w:right w:val="single" w:color="auto" w:sz="4" w:space="0"/>
            </w:tcBorders>
          </w:tcPr>
          <w:p w14:paraId="4092BBFB">
            <w:pPr>
              <w:rPr>
                <w:highlight w:val="none"/>
              </w:rPr>
            </w:pPr>
          </w:p>
        </w:tc>
        <w:tc>
          <w:tcPr>
            <w:tcW w:w="2573" w:type="dxa"/>
            <w:tcBorders>
              <w:top w:val="single" w:color="auto" w:sz="4" w:space="0"/>
              <w:left w:val="single" w:color="auto" w:sz="4" w:space="0"/>
              <w:bottom w:val="single" w:color="auto" w:sz="4" w:space="0"/>
              <w:right w:val="single" w:color="auto" w:sz="4" w:space="0"/>
            </w:tcBorders>
            <w:vAlign w:val="top"/>
          </w:tcPr>
          <w:p w14:paraId="65595616">
            <w:pPr>
              <w:pStyle w:val="57"/>
              <w:spacing w:before="146" w:line="240" w:lineRule="auto"/>
              <w:ind w:right="0" w:rightChars="0"/>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质量</w:t>
            </w:r>
          </w:p>
        </w:tc>
        <w:tc>
          <w:tcPr>
            <w:tcW w:w="5530" w:type="dxa"/>
            <w:tcBorders>
              <w:top w:val="single" w:color="auto" w:sz="4" w:space="0"/>
              <w:left w:val="single" w:color="auto" w:sz="4" w:space="0"/>
              <w:bottom w:val="single" w:color="auto" w:sz="4" w:space="0"/>
              <w:right w:val="single" w:color="auto" w:sz="4" w:space="0"/>
            </w:tcBorders>
            <w:vAlign w:val="top"/>
          </w:tcPr>
          <w:p w14:paraId="62570B9D">
            <w:pPr>
              <w:pStyle w:val="57"/>
              <w:spacing w:before="3" w:line="500" w:lineRule="exact"/>
              <w:ind w:left="103" w:leftChars="0" w:right="103" w:rightChars="0"/>
              <w:jc w:val="left"/>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符合现行国家、行业标准和技术规范的要求。</w:t>
            </w:r>
          </w:p>
        </w:tc>
      </w:tr>
      <w:tr w14:paraId="2E3F27F0">
        <w:tblPrEx>
          <w:tblCellMar>
            <w:top w:w="0" w:type="dxa"/>
            <w:left w:w="0" w:type="dxa"/>
            <w:bottom w:w="0" w:type="dxa"/>
            <w:right w:w="0" w:type="dxa"/>
          </w:tblCellMar>
        </w:tblPrEx>
        <w:trPr>
          <w:trHeight w:val="975" w:hRule="exact"/>
        </w:trPr>
        <w:tc>
          <w:tcPr>
            <w:tcW w:w="1066" w:type="dxa"/>
            <w:vMerge w:val="continue"/>
            <w:tcBorders>
              <w:top w:val="single" w:color="auto" w:sz="4" w:space="0"/>
              <w:left w:val="single" w:color="auto" w:sz="4" w:space="0"/>
              <w:bottom w:val="single" w:color="auto" w:sz="4" w:space="0"/>
              <w:right w:val="single" w:color="auto" w:sz="4" w:space="0"/>
            </w:tcBorders>
          </w:tcPr>
          <w:p w14:paraId="75992990">
            <w:pPr>
              <w:rPr>
                <w:highlight w:val="none"/>
              </w:rPr>
            </w:pPr>
          </w:p>
        </w:tc>
        <w:tc>
          <w:tcPr>
            <w:tcW w:w="2573" w:type="dxa"/>
            <w:tcBorders>
              <w:top w:val="single" w:color="auto" w:sz="4" w:space="0"/>
              <w:left w:val="single" w:color="auto" w:sz="4" w:space="0"/>
              <w:bottom w:val="single" w:color="auto" w:sz="4" w:space="0"/>
              <w:right w:val="single" w:color="auto" w:sz="4" w:space="0"/>
            </w:tcBorders>
            <w:vAlign w:val="top"/>
          </w:tcPr>
          <w:p w14:paraId="64F81D5F">
            <w:pPr>
              <w:pStyle w:val="57"/>
              <w:spacing w:line="240" w:lineRule="auto"/>
              <w:ind w:right="0"/>
              <w:jc w:val="left"/>
              <w:rPr>
                <w:rFonts w:hint="eastAsia" w:ascii="宋体" w:hAnsi="宋体" w:cs="宋体" w:eastAsiaTheme="minorEastAsia"/>
                <w:color w:val="auto"/>
                <w:kern w:val="2"/>
                <w:sz w:val="24"/>
                <w:szCs w:val="24"/>
                <w:highlight w:val="none"/>
                <w:lang w:val="en-US" w:eastAsia="zh-CN" w:bidi="ar-SA"/>
              </w:rPr>
            </w:pPr>
          </w:p>
          <w:p w14:paraId="7CE58D81">
            <w:pPr>
              <w:pStyle w:val="57"/>
              <w:spacing w:before="146" w:line="240" w:lineRule="auto"/>
              <w:ind w:left="686" w:leftChars="0" w:right="0" w:rightChars="0"/>
              <w:jc w:val="left"/>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 xml:space="preserve">响应文件有效期 </w:t>
            </w:r>
          </w:p>
        </w:tc>
        <w:tc>
          <w:tcPr>
            <w:tcW w:w="5530" w:type="dxa"/>
            <w:tcBorders>
              <w:top w:val="single" w:color="auto" w:sz="4" w:space="0"/>
              <w:left w:val="single" w:color="auto" w:sz="4" w:space="0"/>
              <w:bottom w:val="single" w:color="auto" w:sz="4" w:space="0"/>
              <w:right w:val="single" w:color="auto" w:sz="4" w:space="0"/>
            </w:tcBorders>
            <w:vAlign w:val="top"/>
          </w:tcPr>
          <w:p w14:paraId="536AA3CE">
            <w:pPr>
              <w:pStyle w:val="57"/>
              <w:spacing w:line="502" w:lineRule="exact"/>
              <w:ind w:left="103" w:leftChars="0" w:right="103" w:rightChars="0"/>
              <w:jc w:val="left"/>
              <w:rPr>
                <w:rFonts w:hint="eastAsia" w:ascii="宋体" w:hAnsi="宋体" w:cs="宋体" w:eastAsiaTheme="minorEastAsia"/>
                <w:color w:val="auto"/>
                <w:kern w:val="2"/>
                <w:sz w:val="24"/>
                <w:szCs w:val="24"/>
                <w:highlight w:val="none"/>
                <w:lang w:val="en-US" w:eastAsia="zh-CN" w:bidi="ar-SA"/>
              </w:rPr>
            </w:pPr>
            <w:bookmarkStart w:id="8" w:name="_GoBack"/>
            <w:r>
              <w:rPr>
                <w:rFonts w:hint="eastAsia" w:ascii="宋体" w:hAnsi="宋体" w:cs="宋体" w:eastAsiaTheme="minorEastAsia"/>
                <w:color w:val="auto"/>
                <w:kern w:val="2"/>
                <w:sz w:val="24"/>
                <w:szCs w:val="24"/>
                <w:highlight w:val="none"/>
                <w:lang w:val="en-US" w:eastAsia="zh-CN" w:bidi="ar-SA"/>
              </w:rPr>
              <w:t>符合本询价文件“自供应商提交响应性文件截止之日起计算60日历天”的规定</w:t>
            </w:r>
            <w:bookmarkEnd w:id="8"/>
          </w:p>
        </w:tc>
      </w:tr>
    </w:tbl>
    <w:p w14:paraId="0E30E3FE">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1、本次评标采用最低评标法 </w:t>
      </w:r>
    </w:p>
    <w:p w14:paraId="279BE2F2">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同一品牌的认定:采用最低评标价法的采购项目,提供相同品牌产品的不同投标人参加同一合同项下投标的，以其通过资格审查、符合性审查且报价最低的参加评标;报价相同的，由采购人或者采购委托的评标委员会按照招标文件规定方式确定一个参加评标投标人，招标文件未规定的采取随机抽取方式确定，其他投标无效。 </w:t>
      </w:r>
    </w:p>
    <w:p w14:paraId="40C226BC">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的评标委员会按照招标文件规定的方式确定一个投标人获得中标人推荐资格，招标文件未规定的采取随机抽取方式确定，其他同品牌投标人不作为中标候选人。 </w:t>
      </w:r>
    </w:p>
    <w:p w14:paraId="4A7F69DE">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非单一产品采购项目，采购人应当根据采购项目技术构成、产品价格比重等合理确定核心产品，并在询价文件中载明。多家投标人提供的核心产品品牌相同的，按前两款规定处理。</w:t>
      </w:r>
    </w:p>
    <w:p w14:paraId="38410617">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b/>
          <w:bCs/>
          <w:color w:val="auto"/>
          <w:sz w:val="24"/>
          <w:szCs w:val="24"/>
          <w:highlight w:val="none"/>
        </w:rPr>
        <w:t xml:space="preserve">确定成交供应商标准 </w:t>
      </w:r>
      <w:r>
        <w:rPr>
          <w:rFonts w:hint="eastAsia" w:ascii="宋体" w:hAnsi="宋体" w:cs="宋体"/>
          <w:color w:val="auto"/>
          <w:sz w:val="24"/>
          <w:szCs w:val="24"/>
          <w:highlight w:val="none"/>
        </w:rPr>
        <w:t>询价小组根据质量和服务均能满足询价文件实质性要求且报价最低的原则确定成交供应商。</w:t>
      </w:r>
    </w:p>
    <w:p w14:paraId="7DB55DBA">
      <w:pPr>
        <w:keepNext w:val="0"/>
        <w:keepLines w:val="0"/>
        <w:pageBreakBefore w:val="0"/>
        <w:widowControl w:val="0"/>
        <w:numPr>
          <w:ilvl w:val="0"/>
          <w:numId w:val="3"/>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合同签订：</w:t>
      </w:r>
    </w:p>
    <w:p w14:paraId="7FC099B7">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1、自成交通知书发放之日起10天内双方签订政府采购合同。</w:t>
      </w:r>
    </w:p>
    <w:p w14:paraId="28C913BB">
      <w:pPr>
        <w:pStyle w:val="10"/>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default"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2、合同签订后、成交供应商实际提供的参数与其响应文件参数不符的，</w:t>
      </w:r>
      <w:r>
        <w:rPr>
          <w:rFonts w:hint="default" w:ascii="宋体" w:hAnsi="宋体" w:cs="宋体" w:eastAsiaTheme="minorEastAsia"/>
          <w:color w:val="auto"/>
          <w:kern w:val="2"/>
          <w:sz w:val="24"/>
          <w:szCs w:val="24"/>
          <w:highlight w:val="none"/>
          <w:lang w:val="en-US" w:eastAsia="zh-CN" w:bidi="ar-SA"/>
        </w:rPr>
        <w:t>视为虚假供货</w:t>
      </w:r>
      <w:r>
        <w:rPr>
          <w:rFonts w:hint="eastAsia" w:ascii="宋体" w:hAnsi="宋体" w:cs="宋体" w:eastAsiaTheme="minorEastAsia"/>
          <w:color w:val="auto"/>
          <w:kern w:val="2"/>
          <w:sz w:val="24"/>
          <w:szCs w:val="24"/>
          <w:highlight w:val="none"/>
          <w:lang w:val="en-US" w:eastAsia="zh-CN" w:bidi="ar-SA"/>
        </w:rPr>
        <w:t>，采购人有权取消其中标资格解除合同；并要求其赔偿损失，</w:t>
      </w:r>
      <w:r>
        <w:rPr>
          <w:rFonts w:hint="default" w:ascii="宋体" w:hAnsi="宋体" w:cs="宋体" w:eastAsiaTheme="minorEastAsia"/>
          <w:color w:val="auto"/>
          <w:kern w:val="2"/>
          <w:sz w:val="24"/>
          <w:szCs w:val="24"/>
          <w:highlight w:val="none"/>
          <w:lang w:val="en-US" w:eastAsia="zh-CN" w:bidi="ar-SA"/>
        </w:rPr>
        <w:t>供应商必须承担由此产生的一切法律责任</w:t>
      </w:r>
      <w:r>
        <w:rPr>
          <w:rFonts w:hint="eastAsia" w:ascii="宋体" w:hAnsi="宋体" w:cs="宋体" w:eastAsiaTheme="minorEastAsia"/>
          <w:color w:val="auto"/>
          <w:kern w:val="2"/>
          <w:sz w:val="24"/>
          <w:szCs w:val="24"/>
          <w:highlight w:val="none"/>
          <w:lang w:val="en-US" w:eastAsia="zh-CN" w:bidi="ar-SA"/>
        </w:rPr>
        <w:t>。</w:t>
      </w:r>
    </w:p>
    <w:p w14:paraId="7C068577">
      <w:pPr>
        <w:keepNext w:val="0"/>
        <w:keepLines w:val="0"/>
        <w:pageBreakBefore w:val="0"/>
        <w:widowControl w:val="0"/>
        <w:shd w:val="clea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r>
        <w:rPr>
          <w:rFonts w:hint="eastAsia" w:ascii="宋体" w:hAnsi="宋体" w:cs="宋体" w:eastAsiaTheme="minorEastAsia"/>
          <w:color w:val="auto"/>
          <w:kern w:val="2"/>
          <w:sz w:val="24"/>
          <w:szCs w:val="24"/>
          <w:highlight w:val="none"/>
          <w:lang w:val="en-US" w:eastAsia="zh-CN" w:bidi="ar-SA"/>
        </w:rPr>
        <w:t>成交供应商在成交结果公示结束后，领取成交通知书与采购人根据询价文件、成交通知书及成交供应商的响应文件双方协商签订合同</w:t>
      </w:r>
      <w:r>
        <w:rPr>
          <w:rFonts w:hint="eastAsia" w:ascii="宋体" w:hAnsi="宋体" w:cs="宋体"/>
          <w:color w:val="auto"/>
          <w:kern w:val="2"/>
          <w:sz w:val="24"/>
          <w:szCs w:val="24"/>
          <w:highlight w:val="none"/>
          <w:lang w:val="en-US" w:eastAsia="zh-CN" w:bidi="ar-SA"/>
        </w:rPr>
        <w:t>。</w:t>
      </w:r>
    </w:p>
    <w:p w14:paraId="13DD75AA">
      <w:pPr>
        <w:keepNext w:val="0"/>
        <w:keepLines w:val="0"/>
        <w:pageBreakBefore w:val="0"/>
        <w:widowControl w:val="0"/>
        <w:shd w:val="clea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十三、发布公告的媒介：本次招标公告同时在</w:t>
      </w:r>
      <w:r>
        <w:rPr>
          <w:rFonts w:hint="eastAsia" w:ascii="宋体" w:hAnsi="宋体" w:cs="宋体"/>
          <w:sz w:val="24"/>
          <w:highlight w:val="none"/>
        </w:rPr>
        <w:t>《河南省政府采购网》、《</w:t>
      </w:r>
      <w:r>
        <w:rPr>
          <w:rFonts w:hint="eastAsia" w:ascii="宋体" w:hAnsi="宋体" w:cs="宋体"/>
          <w:sz w:val="24"/>
          <w:highlight w:val="none"/>
          <w:lang w:val="en-US" w:eastAsia="zh-CN"/>
        </w:rPr>
        <w:t>焦作市</w:t>
      </w:r>
      <w:r>
        <w:rPr>
          <w:rFonts w:hint="eastAsia" w:ascii="宋体" w:hAnsi="宋体" w:cs="宋体"/>
          <w:sz w:val="24"/>
          <w:highlight w:val="none"/>
        </w:rPr>
        <w:t>政府采购网》</w:t>
      </w:r>
      <w:r>
        <w:rPr>
          <w:rFonts w:hint="eastAsia" w:ascii="宋体" w:hAnsi="宋体" w:cs="宋体"/>
          <w:sz w:val="24"/>
          <w:highlight w:val="none"/>
          <w:lang w:eastAsia="zh-CN"/>
        </w:rPr>
        <w:t>、</w:t>
      </w:r>
      <w:r>
        <w:rPr>
          <w:rFonts w:hint="eastAsia" w:ascii="宋体" w:hAnsi="宋体" w:cs="宋体"/>
          <w:sz w:val="24"/>
          <w:highlight w:val="none"/>
        </w:rPr>
        <w:t>《焦作市公共资源交易中心网》、《沁阳市公共资源交易中心网》</w:t>
      </w:r>
      <w:r>
        <w:rPr>
          <w:rFonts w:hint="eastAsia" w:ascii="宋体" w:hAnsi="宋体" w:cs="宋体"/>
          <w:color w:val="auto"/>
          <w:sz w:val="24"/>
          <w:szCs w:val="24"/>
          <w:highlight w:val="none"/>
        </w:rPr>
        <w:t>网上发布</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"http://www.qyggzyjy.cn/upload/"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"http://www.qyggzyjy.cn/upload/"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"http://www.qyggzyjy.cn/upload/"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"http://www.qyggzyjy.cn/upload/"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p w14:paraId="473F5655">
      <w:pPr>
        <w:keepNext w:val="0"/>
        <w:keepLines w:val="0"/>
        <w:pageBreakBefore w:val="0"/>
        <w:widowControl w:val="0"/>
        <w:numPr>
          <w:ilvl w:val="0"/>
          <w:numId w:val="4"/>
        </w:numPr>
        <w:shd w:val="clea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其他事项</w:t>
      </w:r>
    </w:p>
    <w:p w14:paraId="6422DC35">
      <w:pPr>
        <w:pStyle w:val="9"/>
        <w:keepNext w:val="0"/>
        <w:keepLines w:val="0"/>
        <w:pageBreakBefore w:val="0"/>
        <w:widowControl w:val="0"/>
        <w:kinsoku/>
        <w:wordWrap/>
        <w:overflowPunct/>
        <w:topLinePunct w:val="0"/>
        <w:autoSpaceDE/>
        <w:autoSpaceDN/>
        <w:bidi w:val="0"/>
        <w:adjustRightInd/>
        <w:snapToGrid/>
        <w:spacing w:after="0" w:line="480" w:lineRule="exact"/>
        <w:ind w:left="0" w:leftChars="0" w:right="216" w:rightChars="103" w:firstLine="482" w:firstLineChars="200"/>
        <w:jc w:val="both"/>
        <w:textAlignment w:val="auto"/>
        <w:outlineLvl w:val="9"/>
        <w:rPr>
          <w:rFonts w:hint="eastAsia"/>
          <w:highlight w:val="none"/>
          <w:lang w:val="en-US" w:eastAsia="zh-CN"/>
        </w:rPr>
      </w:pPr>
      <w:r>
        <w:rPr>
          <w:rStyle w:val="62"/>
          <w:rFonts w:hint="eastAsia" w:ascii="宋体" w:hAnsi="宋体" w:eastAsia="宋体"/>
          <w:b/>
          <w:bCs/>
          <w:color w:val="auto"/>
          <w:sz w:val="24"/>
          <w:szCs w:val="24"/>
          <w:highlight w:val="none"/>
          <w:lang w:val="en-US" w:eastAsia="zh-CN" w:bidi="ar-SA"/>
        </w:rPr>
        <w:t>重要提醒：为打击围标串标、哄抬标价等违法违规行为，对于中标价的节约资金率低于5%的政府采购项目，作为重点监测对象，报市纪检监察部门和政府采购监督管理部门，如发现存在围标串标、哄抬标价等嫌疑或线索的，由市纪检监察部门和政府采购监督管理部门严肃查处。</w:t>
      </w:r>
    </w:p>
    <w:p w14:paraId="2C3423F2">
      <w:pPr>
        <w:keepNext w:val="0"/>
        <w:keepLines w:val="0"/>
        <w:pageBreakBefore w:val="0"/>
        <w:widowControl w:val="0"/>
        <w:shd w:val="clear"/>
        <w:kinsoku/>
        <w:wordWrap/>
        <w:overflowPunct/>
        <w:topLinePunct w:val="0"/>
        <w:autoSpaceDE/>
        <w:autoSpaceDN/>
        <w:bidi w:val="0"/>
        <w:adjustRightInd/>
        <w:snapToGrid/>
        <w:spacing w:line="480" w:lineRule="exact"/>
        <w:jc w:val="both"/>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十五、</w:t>
      </w:r>
      <w:r>
        <w:rPr>
          <w:rFonts w:hint="eastAsia" w:ascii="宋体" w:hAnsi="宋体" w:cs="宋体"/>
          <w:color w:val="auto"/>
          <w:sz w:val="24"/>
          <w:szCs w:val="24"/>
          <w:highlight w:val="none"/>
        </w:rPr>
        <w:t>本次采购项目联系事项：</w:t>
      </w:r>
    </w:p>
    <w:p w14:paraId="19F50F6A">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1.采购人信息</w:t>
      </w:r>
    </w:p>
    <w:p w14:paraId="4B31D4BC">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名  称：沁阳市农业技术推广中心</w:t>
      </w:r>
    </w:p>
    <w:p w14:paraId="73060297">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地 址：沁阳市委党校西临街楼321房间</w:t>
      </w:r>
    </w:p>
    <w:p w14:paraId="6F085049">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联系人：李女士</w:t>
      </w:r>
    </w:p>
    <w:p w14:paraId="3F23DFD9">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电 话：15239719856</w:t>
      </w:r>
    </w:p>
    <w:p w14:paraId="26D352CF">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2.采购代理机构信息</w:t>
      </w:r>
    </w:p>
    <w:p w14:paraId="0172C7B0">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名   称：河南森沁工程服务有限公司</w:t>
      </w:r>
    </w:p>
    <w:p w14:paraId="5A439E49">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地  址：沁阳市太行街道新民街</w:t>
      </w:r>
    </w:p>
    <w:p w14:paraId="3C8652A9">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联系人：邢先生</w:t>
      </w:r>
    </w:p>
    <w:p w14:paraId="706F1B3F">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电  话：16639153777</w:t>
      </w:r>
    </w:p>
    <w:p w14:paraId="4E3A7778">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十六、财政部门联系方式：</w:t>
      </w:r>
    </w:p>
    <w:p w14:paraId="7696068F">
      <w:pPr>
        <w:tabs>
          <w:tab w:val="center" w:pos="4851"/>
        </w:tabs>
        <w:bidi w:val="0"/>
        <w:jc w:val="left"/>
        <w:rPr>
          <w:rFonts w:hint="eastAsia"/>
          <w:highlight w:val="none"/>
          <w:lang w:val="en-US" w:eastAsia="zh-CN"/>
        </w:rPr>
        <w:sectPr>
          <w:footerReference r:id="rId11" w:type="default"/>
          <w:pgSz w:w="11907" w:h="16839"/>
          <w:pgMar w:top="1440" w:right="1005" w:bottom="1440" w:left="1199" w:header="0" w:footer="632" w:gutter="0"/>
          <w:pgBorders>
            <w:top w:val="none" w:sz="0" w:space="0"/>
            <w:left w:val="none" w:sz="0" w:space="0"/>
            <w:bottom w:val="none" w:sz="0" w:space="0"/>
            <w:right w:val="none" w:sz="0" w:space="0"/>
          </w:pgBorders>
          <w:pgNumType w:fmt="decimal" w:start="1"/>
          <w:cols w:space="720" w:num="1"/>
        </w:sectPr>
      </w:pPr>
      <w:r>
        <w:rPr>
          <w:rFonts w:hint="eastAsia" w:asciiTheme="minorEastAsia" w:hAnsiTheme="minorEastAsia" w:cstheme="minorEastAsia"/>
          <w:color w:val="auto"/>
          <w:sz w:val="24"/>
          <w:szCs w:val="24"/>
          <w:highlight w:val="none"/>
          <w:shd w:val="clear" w:fill="FFFFFF"/>
          <w:lang w:val="en-US" w:eastAsia="zh-CN"/>
        </w:rPr>
        <w:t>沁阳市政府采购服务中心             电话：0391-5637651</w:t>
      </w:r>
    </w:p>
    <w:p w14:paraId="07C17BB0">
      <w:pPr>
        <w:shd w:val="clear"/>
        <w:spacing w:line="360" w:lineRule="auto"/>
        <w:ind w:firstLine="643" w:firstLineChars="200"/>
        <w:jc w:val="center"/>
        <w:outlineLvl w:val="0"/>
        <w:rPr>
          <w:rFonts w:hint="eastAsia" w:ascii="宋体" w:hAnsi="宋体" w:cs="宋体"/>
          <w:color w:val="auto"/>
          <w:sz w:val="24"/>
          <w:szCs w:val="24"/>
          <w:highlight w:val="none"/>
        </w:rPr>
      </w:pPr>
      <w:r>
        <w:rPr>
          <w:rFonts w:hint="eastAsia" w:ascii="宋体" w:hAnsi="宋体" w:cs="宋体"/>
          <w:b/>
          <w:bCs/>
          <w:color w:val="auto"/>
          <w:sz w:val="32"/>
          <w:szCs w:val="32"/>
          <w:highlight w:val="none"/>
        </w:rPr>
        <w:t>报价一览表</w:t>
      </w:r>
    </w:p>
    <w:tbl>
      <w:tblPr>
        <w:tblStyle w:val="28"/>
        <w:tblW w:w="9015" w:type="dxa"/>
        <w:tblInd w:w="23" w:type="dxa"/>
        <w:tblLayout w:type="fixed"/>
        <w:tblCellMar>
          <w:top w:w="0" w:type="dxa"/>
          <w:left w:w="0" w:type="dxa"/>
          <w:bottom w:w="0" w:type="dxa"/>
          <w:right w:w="0" w:type="dxa"/>
        </w:tblCellMar>
      </w:tblPr>
      <w:tblGrid>
        <w:gridCol w:w="1905"/>
        <w:gridCol w:w="3750"/>
        <w:gridCol w:w="1200"/>
        <w:gridCol w:w="2160"/>
      </w:tblGrid>
      <w:tr w14:paraId="3CB0AFBC">
        <w:tblPrEx>
          <w:tblCellMar>
            <w:top w:w="0" w:type="dxa"/>
            <w:left w:w="0" w:type="dxa"/>
            <w:bottom w:w="0" w:type="dxa"/>
            <w:right w:w="0" w:type="dxa"/>
          </w:tblCellMar>
        </w:tblPrEx>
        <w:trPr>
          <w:trHeight w:val="850"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24B47824">
            <w:pPr>
              <w:shd w:val="clea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3750" w:type="dxa"/>
            <w:tcBorders>
              <w:top w:val="single" w:color="000000" w:sz="8" w:space="0"/>
              <w:left w:val="nil"/>
              <w:bottom w:val="single" w:color="000000" w:sz="8" w:space="0"/>
              <w:right w:val="single" w:color="000000" w:sz="8" w:space="0"/>
            </w:tcBorders>
            <w:vAlign w:val="center"/>
          </w:tcPr>
          <w:p w14:paraId="770D4D02">
            <w:pPr>
              <w:shd w:val="clear"/>
              <w:spacing w:line="360" w:lineRule="auto"/>
              <w:rPr>
                <w:rFonts w:hint="eastAsia" w:ascii="宋体" w:hAnsi="宋体" w:cs="宋体"/>
                <w:color w:val="auto"/>
                <w:sz w:val="24"/>
                <w:szCs w:val="24"/>
                <w:highlight w:val="none"/>
              </w:rPr>
            </w:pPr>
          </w:p>
        </w:tc>
        <w:tc>
          <w:tcPr>
            <w:tcW w:w="1200" w:type="dxa"/>
            <w:tcBorders>
              <w:top w:val="single" w:color="000000" w:sz="8" w:space="0"/>
              <w:left w:val="nil"/>
              <w:bottom w:val="single" w:color="000000" w:sz="8" w:space="0"/>
              <w:right w:val="single" w:color="000000" w:sz="8" w:space="0"/>
            </w:tcBorders>
            <w:vAlign w:val="center"/>
          </w:tcPr>
          <w:p w14:paraId="335C0D11">
            <w:pPr>
              <w:shd w:val="clea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采购编号</w:t>
            </w:r>
          </w:p>
        </w:tc>
        <w:tc>
          <w:tcPr>
            <w:tcW w:w="2160" w:type="dxa"/>
            <w:tcBorders>
              <w:top w:val="single" w:color="000000" w:sz="8" w:space="0"/>
              <w:left w:val="nil"/>
              <w:bottom w:val="single" w:color="000000" w:sz="8" w:space="0"/>
              <w:right w:val="single" w:color="000000" w:sz="8" w:space="0"/>
            </w:tcBorders>
            <w:vAlign w:val="center"/>
          </w:tcPr>
          <w:p w14:paraId="57568731">
            <w:pPr>
              <w:shd w:val="clear"/>
              <w:spacing w:line="360" w:lineRule="auto"/>
              <w:rPr>
                <w:rFonts w:hint="eastAsia" w:ascii="宋体" w:hAnsi="宋体" w:cs="宋体"/>
                <w:color w:val="auto"/>
                <w:sz w:val="24"/>
                <w:szCs w:val="24"/>
                <w:highlight w:val="none"/>
              </w:rPr>
            </w:pPr>
          </w:p>
        </w:tc>
      </w:tr>
      <w:tr w14:paraId="3A1EBE8C">
        <w:tblPrEx>
          <w:tblCellMar>
            <w:top w:w="0" w:type="dxa"/>
            <w:left w:w="0" w:type="dxa"/>
            <w:bottom w:w="0" w:type="dxa"/>
            <w:right w:w="0" w:type="dxa"/>
          </w:tblCellMar>
        </w:tblPrEx>
        <w:trPr>
          <w:trHeight w:val="850" w:hRule="atLeast"/>
        </w:trPr>
        <w:tc>
          <w:tcPr>
            <w:tcW w:w="1905" w:type="dxa"/>
            <w:tcBorders>
              <w:top w:val="nil"/>
              <w:left w:val="single" w:color="000000" w:sz="8" w:space="0"/>
              <w:bottom w:val="single" w:color="000000" w:sz="8" w:space="0"/>
              <w:right w:val="single" w:color="000000" w:sz="8" w:space="0"/>
            </w:tcBorders>
            <w:vAlign w:val="center"/>
          </w:tcPr>
          <w:p w14:paraId="20D52755">
            <w:pPr>
              <w:shd w:val="clea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报价单位名称</w:t>
            </w:r>
          </w:p>
        </w:tc>
        <w:tc>
          <w:tcPr>
            <w:tcW w:w="7110" w:type="dxa"/>
            <w:gridSpan w:val="3"/>
            <w:tcBorders>
              <w:top w:val="nil"/>
              <w:left w:val="nil"/>
              <w:bottom w:val="single" w:color="000000" w:sz="8" w:space="0"/>
              <w:right w:val="single" w:color="000000" w:sz="8" w:space="0"/>
            </w:tcBorders>
            <w:vAlign w:val="center"/>
          </w:tcPr>
          <w:p w14:paraId="50AF3712">
            <w:pPr>
              <w:shd w:val="clear"/>
              <w:spacing w:line="360" w:lineRule="auto"/>
              <w:rPr>
                <w:rFonts w:hint="eastAsia" w:ascii="宋体" w:hAnsi="宋体" w:cs="宋体"/>
                <w:color w:val="auto"/>
                <w:sz w:val="24"/>
                <w:szCs w:val="24"/>
                <w:highlight w:val="none"/>
              </w:rPr>
            </w:pPr>
          </w:p>
        </w:tc>
      </w:tr>
      <w:tr w14:paraId="15060CF1">
        <w:tblPrEx>
          <w:tblCellMar>
            <w:top w:w="0" w:type="dxa"/>
            <w:left w:w="0" w:type="dxa"/>
            <w:bottom w:w="0" w:type="dxa"/>
            <w:right w:w="0" w:type="dxa"/>
          </w:tblCellMar>
        </w:tblPrEx>
        <w:trPr>
          <w:trHeight w:val="1301" w:hRule="atLeast"/>
        </w:trPr>
        <w:tc>
          <w:tcPr>
            <w:tcW w:w="1905" w:type="dxa"/>
            <w:tcBorders>
              <w:top w:val="nil"/>
              <w:left w:val="single" w:color="000000" w:sz="8" w:space="0"/>
              <w:bottom w:val="nil"/>
              <w:right w:val="single" w:color="000000" w:sz="8" w:space="0"/>
            </w:tcBorders>
            <w:vAlign w:val="top"/>
          </w:tcPr>
          <w:p w14:paraId="067F1344">
            <w:pPr>
              <w:pStyle w:val="57"/>
              <w:spacing w:before="1" w:line="240" w:lineRule="auto"/>
              <w:ind w:right="0"/>
              <w:jc w:val="left"/>
              <w:rPr>
                <w:rFonts w:ascii="宋体" w:hAnsi="宋体" w:eastAsia="宋体" w:cs="宋体"/>
                <w:sz w:val="35"/>
                <w:szCs w:val="35"/>
                <w:highlight w:val="none"/>
              </w:rPr>
            </w:pPr>
          </w:p>
          <w:p w14:paraId="254F6BC7">
            <w:pPr>
              <w:pStyle w:val="57"/>
              <w:spacing w:line="240" w:lineRule="auto"/>
              <w:ind w:left="580" w:leftChars="0" w:right="0" w:rightChars="0"/>
              <w:jc w:val="left"/>
              <w:rPr>
                <w:rFonts w:hint="eastAsia" w:ascii="宋体" w:hAnsi="宋体" w:cs="宋体"/>
                <w:color w:val="auto"/>
                <w:sz w:val="24"/>
                <w:szCs w:val="24"/>
                <w:highlight w:val="none"/>
              </w:rPr>
            </w:pPr>
            <w:r>
              <w:rPr>
                <w:rFonts w:ascii="宋体" w:hAnsi="宋体" w:eastAsia="宋体" w:cs="宋体"/>
                <w:sz w:val="24"/>
                <w:szCs w:val="24"/>
                <w:highlight w:val="none"/>
              </w:rPr>
              <w:t xml:space="preserve">总报价 </w:t>
            </w:r>
          </w:p>
        </w:tc>
        <w:tc>
          <w:tcPr>
            <w:tcW w:w="7110" w:type="dxa"/>
            <w:gridSpan w:val="3"/>
            <w:tcBorders>
              <w:top w:val="nil"/>
              <w:left w:val="nil"/>
              <w:bottom w:val="nil"/>
              <w:right w:val="single" w:color="000000" w:sz="8" w:space="0"/>
            </w:tcBorders>
            <w:vAlign w:val="center"/>
          </w:tcPr>
          <w:p w14:paraId="43CA37C0">
            <w:pPr>
              <w:shd w:val="clear"/>
              <w:spacing w:line="48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元人民币</w:t>
            </w:r>
          </w:p>
          <w:p w14:paraId="7E679F9D">
            <w:pPr>
              <w:shd w:val="clear"/>
              <w:spacing w:line="48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元人民币</w:t>
            </w:r>
          </w:p>
        </w:tc>
      </w:tr>
      <w:tr w14:paraId="60413F48">
        <w:tblPrEx>
          <w:tblCellMar>
            <w:top w:w="0" w:type="dxa"/>
            <w:left w:w="0" w:type="dxa"/>
            <w:bottom w:w="0" w:type="dxa"/>
            <w:right w:w="0" w:type="dxa"/>
          </w:tblCellMar>
        </w:tblPrEx>
        <w:trPr>
          <w:trHeight w:val="850" w:hRule="atLeast"/>
        </w:trPr>
        <w:tc>
          <w:tcPr>
            <w:tcW w:w="1905" w:type="dxa"/>
            <w:tcBorders>
              <w:top w:val="single" w:color="000000" w:sz="8" w:space="0"/>
              <w:left w:val="single" w:color="000000" w:sz="8" w:space="0"/>
              <w:bottom w:val="nil"/>
              <w:right w:val="single" w:color="000000" w:sz="8" w:space="0"/>
            </w:tcBorders>
            <w:vAlign w:val="top"/>
          </w:tcPr>
          <w:p w14:paraId="7ECAF39C">
            <w:pPr>
              <w:pStyle w:val="57"/>
              <w:spacing w:before="8" w:line="240" w:lineRule="auto"/>
              <w:ind w:right="0"/>
              <w:jc w:val="left"/>
              <w:rPr>
                <w:rFonts w:ascii="宋体" w:hAnsi="宋体" w:eastAsia="宋体" w:cs="宋体"/>
                <w:sz w:val="17"/>
                <w:szCs w:val="17"/>
                <w:highlight w:val="none"/>
              </w:rPr>
            </w:pPr>
          </w:p>
          <w:p w14:paraId="0A21A051">
            <w:pPr>
              <w:pStyle w:val="57"/>
              <w:spacing w:line="240" w:lineRule="auto"/>
              <w:ind w:left="220" w:leftChars="0" w:right="0" w:rightChars="0"/>
              <w:jc w:val="left"/>
              <w:rPr>
                <w:rFonts w:hint="eastAsia" w:ascii="宋体" w:hAnsi="宋体" w:cs="宋体"/>
                <w:color w:val="auto"/>
                <w:sz w:val="24"/>
                <w:szCs w:val="24"/>
                <w:highlight w:val="none"/>
              </w:rPr>
            </w:pPr>
            <w:r>
              <w:rPr>
                <w:rFonts w:ascii="宋体" w:hAnsi="宋体" w:eastAsia="宋体" w:cs="宋体"/>
                <w:sz w:val="24"/>
                <w:szCs w:val="24"/>
                <w:highlight w:val="none"/>
              </w:rPr>
              <w:t xml:space="preserve">合同履行期限 </w:t>
            </w:r>
          </w:p>
        </w:tc>
        <w:tc>
          <w:tcPr>
            <w:tcW w:w="7110" w:type="dxa"/>
            <w:gridSpan w:val="3"/>
            <w:tcBorders>
              <w:top w:val="single" w:color="000000" w:sz="8" w:space="0"/>
              <w:left w:val="nil"/>
              <w:bottom w:val="nil"/>
              <w:right w:val="single" w:color="000000" w:sz="8" w:space="0"/>
            </w:tcBorders>
            <w:vAlign w:val="center"/>
          </w:tcPr>
          <w:p w14:paraId="7B4D6A31">
            <w:pPr>
              <w:shd w:val="clear"/>
              <w:spacing w:line="360" w:lineRule="auto"/>
              <w:jc w:val="center"/>
              <w:rPr>
                <w:rFonts w:hint="eastAsia" w:ascii="宋体" w:hAnsi="宋体" w:cs="宋体"/>
                <w:color w:val="auto"/>
                <w:sz w:val="24"/>
                <w:szCs w:val="24"/>
                <w:highlight w:val="none"/>
              </w:rPr>
            </w:pPr>
          </w:p>
        </w:tc>
      </w:tr>
      <w:tr w14:paraId="4ABD0697">
        <w:tblPrEx>
          <w:tblCellMar>
            <w:top w:w="0" w:type="dxa"/>
            <w:left w:w="0" w:type="dxa"/>
            <w:bottom w:w="0" w:type="dxa"/>
            <w:right w:w="0" w:type="dxa"/>
          </w:tblCellMar>
        </w:tblPrEx>
        <w:trPr>
          <w:trHeight w:val="850" w:hRule="atLeast"/>
        </w:trPr>
        <w:tc>
          <w:tcPr>
            <w:tcW w:w="1905" w:type="dxa"/>
            <w:tcBorders>
              <w:top w:val="single" w:color="000000" w:sz="8" w:space="0"/>
              <w:left w:val="single" w:color="000000" w:sz="8" w:space="0"/>
              <w:bottom w:val="nil"/>
              <w:right w:val="single" w:color="000000" w:sz="8" w:space="0"/>
            </w:tcBorders>
            <w:vAlign w:val="top"/>
          </w:tcPr>
          <w:p w14:paraId="0B20E3D5">
            <w:pPr>
              <w:pStyle w:val="57"/>
              <w:spacing w:before="41" w:line="240" w:lineRule="auto"/>
              <w:ind w:right="2"/>
              <w:jc w:val="center"/>
              <w:rPr>
                <w:rFonts w:ascii="宋体" w:hAnsi="宋体" w:eastAsia="宋体" w:cs="宋体"/>
                <w:sz w:val="24"/>
                <w:szCs w:val="24"/>
                <w:highlight w:val="none"/>
              </w:rPr>
            </w:pPr>
            <w:r>
              <w:rPr>
                <w:rFonts w:ascii="宋体" w:hAnsi="宋体" w:eastAsia="宋体" w:cs="宋体"/>
                <w:sz w:val="24"/>
                <w:szCs w:val="24"/>
                <w:highlight w:val="none"/>
              </w:rPr>
              <w:t>交货地点及运费</w:t>
            </w:r>
          </w:p>
          <w:p w14:paraId="0A1573FE">
            <w:pPr>
              <w:pStyle w:val="57"/>
              <w:spacing w:before="154" w:line="240" w:lineRule="auto"/>
              <w:ind w:left="115" w:leftChars="0" w:right="0" w:rightChars="0"/>
              <w:jc w:val="center"/>
              <w:rPr>
                <w:rFonts w:hint="eastAsia" w:ascii="宋体" w:hAnsi="宋体" w:cs="宋体"/>
                <w:color w:val="auto"/>
                <w:sz w:val="24"/>
                <w:szCs w:val="24"/>
                <w:highlight w:val="none"/>
              </w:rPr>
            </w:pPr>
            <w:r>
              <w:rPr>
                <w:rFonts w:ascii="宋体" w:hAnsi="宋体" w:eastAsia="宋体" w:cs="宋体"/>
                <w:sz w:val="24"/>
                <w:szCs w:val="24"/>
                <w:highlight w:val="none"/>
              </w:rPr>
              <w:t xml:space="preserve">承担 </w:t>
            </w:r>
          </w:p>
        </w:tc>
        <w:tc>
          <w:tcPr>
            <w:tcW w:w="7110" w:type="dxa"/>
            <w:gridSpan w:val="3"/>
            <w:tcBorders>
              <w:top w:val="single" w:color="000000" w:sz="8" w:space="0"/>
              <w:left w:val="nil"/>
              <w:bottom w:val="nil"/>
              <w:right w:val="single" w:color="000000" w:sz="8" w:space="0"/>
            </w:tcBorders>
            <w:vAlign w:val="center"/>
          </w:tcPr>
          <w:p w14:paraId="1B07D685">
            <w:pPr>
              <w:shd w:val="clear"/>
              <w:spacing w:line="360" w:lineRule="auto"/>
              <w:jc w:val="center"/>
              <w:rPr>
                <w:rFonts w:hint="eastAsia" w:ascii="宋体" w:hAnsi="宋体" w:cs="宋体"/>
                <w:color w:val="auto"/>
                <w:sz w:val="24"/>
                <w:szCs w:val="24"/>
                <w:highlight w:val="none"/>
              </w:rPr>
            </w:pPr>
          </w:p>
        </w:tc>
      </w:tr>
      <w:tr w14:paraId="7BB19963">
        <w:tblPrEx>
          <w:tblCellMar>
            <w:top w:w="0" w:type="dxa"/>
            <w:left w:w="0" w:type="dxa"/>
            <w:bottom w:w="0" w:type="dxa"/>
            <w:right w:w="0" w:type="dxa"/>
          </w:tblCellMar>
        </w:tblPrEx>
        <w:trPr>
          <w:trHeight w:val="850" w:hRule="atLeast"/>
        </w:trPr>
        <w:tc>
          <w:tcPr>
            <w:tcW w:w="1905" w:type="dxa"/>
            <w:tcBorders>
              <w:top w:val="single" w:color="000000" w:sz="8" w:space="0"/>
              <w:left w:val="single" w:color="000000" w:sz="8" w:space="0"/>
              <w:bottom w:val="nil"/>
              <w:right w:val="single" w:color="000000" w:sz="8" w:space="0"/>
            </w:tcBorders>
            <w:vAlign w:val="center"/>
          </w:tcPr>
          <w:p w14:paraId="67D50EB1">
            <w:pPr>
              <w:shd w:val="clear"/>
              <w:spacing w:line="360" w:lineRule="auto"/>
              <w:jc w:val="center"/>
              <w:rPr>
                <w:rFonts w:hint="eastAsia" w:ascii="宋体" w:hAnsi="宋体" w:cs="宋体"/>
                <w:color w:val="auto"/>
                <w:sz w:val="24"/>
                <w:szCs w:val="24"/>
                <w:highlight w:val="none"/>
              </w:rPr>
            </w:pPr>
            <w:r>
              <w:rPr>
                <w:rFonts w:hint="eastAsia" w:ascii="宋体" w:hAnsi="宋体" w:eastAsia="宋体" w:cs="宋体"/>
                <w:sz w:val="24"/>
                <w:szCs w:val="24"/>
                <w:highlight w:val="none"/>
              </w:rPr>
              <w:t>响应文件有效期</w:t>
            </w:r>
          </w:p>
        </w:tc>
        <w:tc>
          <w:tcPr>
            <w:tcW w:w="7110" w:type="dxa"/>
            <w:gridSpan w:val="3"/>
            <w:tcBorders>
              <w:top w:val="single" w:color="000000" w:sz="8" w:space="0"/>
              <w:left w:val="nil"/>
              <w:bottom w:val="nil"/>
              <w:right w:val="single" w:color="000000" w:sz="8" w:space="0"/>
            </w:tcBorders>
            <w:vAlign w:val="center"/>
          </w:tcPr>
          <w:p w14:paraId="5F267A52">
            <w:pPr>
              <w:shd w:val="clear"/>
              <w:spacing w:line="360" w:lineRule="auto"/>
              <w:jc w:val="center"/>
              <w:rPr>
                <w:rFonts w:hint="eastAsia" w:ascii="宋体" w:hAnsi="宋体" w:cs="宋体"/>
                <w:color w:val="auto"/>
                <w:sz w:val="24"/>
                <w:szCs w:val="24"/>
                <w:highlight w:val="none"/>
              </w:rPr>
            </w:pPr>
          </w:p>
        </w:tc>
      </w:tr>
      <w:tr w14:paraId="76E65BBC">
        <w:tblPrEx>
          <w:tblCellMar>
            <w:top w:w="0" w:type="dxa"/>
            <w:left w:w="0" w:type="dxa"/>
            <w:bottom w:w="0" w:type="dxa"/>
            <w:right w:w="0" w:type="dxa"/>
          </w:tblCellMar>
        </w:tblPrEx>
        <w:trPr>
          <w:trHeight w:val="850" w:hRule="atLeast"/>
        </w:trPr>
        <w:tc>
          <w:tcPr>
            <w:tcW w:w="1905" w:type="dxa"/>
            <w:tcBorders>
              <w:top w:val="single" w:color="000000" w:sz="8" w:space="0"/>
              <w:left w:val="single" w:color="000000" w:sz="8" w:space="0"/>
              <w:bottom w:val="single" w:color="000000" w:sz="4" w:space="0"/>
              <w:right w:val="single" w:color="000000" w:sz="8" w:space="0"/>
            </w:tcBorders>
            <w:vAlign w:val="center"/>
          </w:tcPr>
          <w:p w14:paraId="3F20376E">
            <w:pPr>
              <w:shd w:val="clea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w:t>
            </w:r>
          </w:p>
        </w:tc>
        <w:tc>
          <w:tcPr>
            <w:tcW w:w="7110" w:type="dxa"/>
            <w:gridSpan w:val="3"/>
            <w:tcBorders>
              <w:top w:val="single" w:color="000000" w:sz="8" w:space="0"/>
              <w:left w:val="nil"/>
              <w:bottom w:val="single" w:color="000000" w:sz="4" w:space="0"/>
              <w:right w:val="single" w:color="000000" w:sz="8" w:space="0"/>
            </w:tcBorders>
            <w:vAlign w:val="center"/>
          </w:tcPr>
          <w:p w14:paraId="342D2ED5">
            <w:pPr>
              <w:shd w:val="clear"/>
              <w:spacing w:line="360" w:lineRule="auto"/>
              <w:jc w:val="center"/>
              <w:rPr>
                <w:rFonts w:hint="eastAsia" w:ascii="宋体" w:hAnsi="宋体" w:cs="宋体"/>
                <w:color w:val="auto"/>
                <w:sz w:val="24"/>
                <w:szCs w:val="24"/>
                <w:highlight w:val="none"/>
              </w:rPr>
            </w:pPr>
          </w:p>
        </w:tc>
      </w:tr>
      <w:tr w14:paraId="5028ADDA">
        <w:tblPrEx>
          <w:tblCellMar>
            <w:top w:w="0" w:type="dxa"/>
            <w:left w:w="0" w:type="dxa"/>
            <w:bottom w:w="0" w:type="dxa"/>
            <w:right w:w="0" w:type="dxa"/>
          </w:tblCellMar>
        </w:tblPrEx>
        <w:trPr>
          <w:trHeight w:val="850" w:hRule="atLeast"/>
        </w:trPr>
        <w:tc>
          <w:tcPr>
            <w:tcW w:w="1905" w:type="dxa"/>
            <w:tcBorders>
              <w:top w:val="single" w:color="000000" w:sz="4" w:space="0"/>
              <w:left w:val="single" w:color="000000" w:sz="8" w:space="0"/>
              <w:bottom w:val="single" w:color="000000" w:sz="8" w:space="0"/>
              <w:right w:val="single" w:color="000000" w:sz="8" w:space="0"/>
            </w:tcBorders>
            <w:vAlign w:val="center"/>
          </w:tcPr>
          <w:p w14:paraId="52F87968">
            <w:pPr>
              <w:shd w:val="clea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c>
          <w:tcPr>
            <w:tcW w:w="7110" w:type="dxa"/>
            <w:gridSpan w:val="3"/>
            <w:tcBorders>
              <w:top w:val="single" w:color="000000" w:sz="4" w:space="0"/>
              <w:left w:val="nil"/>
              <w:bottom w:val="single" w:color="000000" w:sz="8" w:space="0"/>
              <w:right w:val="single" w:color="000000" w:sz="8" w:space="0"/>
            </w:tcBorders>
            <w:vAlign w:val="center"/>
          </w:tcPr>
          <w:p w14:paraId="75EBE500">
            <w:pPr>
              <w:shd w:val="clear"/>
              <w:spacing w:line="360" w:lineRule="auto"/>
              <w:jc w:val="center"/>
              <w:rPr>
                <w:rFonts w:hint="eastAsia" w:ascii="宋体" w:hAnsi="宋体" w:cs="宋体"/>
                <w:color w:val="auto"/>
                <w:sz w:val="24"/>
                <w:szCs w:val="24"/>
                <w:highlight w:val="none"/>
              </w:rPr>
            </w:pPr>
          </w:p>
        </w:tc>
      </w:tr>
    </w:tbl>
    <w:p w14:paraId="6E66DB3F">
      <w:pPr>
        <w:shd w:val="clear"/>
        <w:spacing w:line="360" w:lineRule="auto"/>
        <w:rPr>
          <w:rFonts w:hint="eastAsia" w:ascii="宋体" w:hAnsi="宋体" w:cs="宋体"/>
          <w:color w:val="auto"/>
          <w:sz w:val="24"/>
          <w:szCs w:val="24"/>
          <w:highlight w:val="none"/>
        </w:rPr>
      </w:pPr>
    </w:p>
    <w:p w14:paraId="62A0C4CB">
      <w:pPr>
        <w:shd w:val="clear"/>
        <w:spacing w:line="360" w:lineRule="auto"/>
        <w:ind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报价人（盖章）：</w:t>
      </w:r>
    </w:p>
    <w:p w14:paraId="00522C28">
      <w:pPr>
        <w:shd w:val="clear"/>
        <w:spacing w:line="360" w:lineRule="auto"/>
        <w:ind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授权人（签字或盖章）：</w:t>
      </w:r>
    </w:p>
    <w:p w14:paraId="2039DBB9">
      <w:pPr>
        <w:shd w:val="clear"/>
        <w:spacing w:line="360" w:lineRule="auto"/>
        <w:ind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00A17D01">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8B77A1B">
      <w:pPr>
        <w:shd w:val="clear"/>
        <w:spacing w:line="360" w:lineRule="auto"/>
        <w:jc w:val="center"/>
        <w:outlineLvl w:val="0"/>
        <w:rPr>
          <w:rFonts w:hint="eastAsia" w:ascii="宋体" w:hAnsi="宋体" w:cs="宋体"/>
          <w:color w:val="auto"/>
          <w:sz w:val="24"/>
          <w:szCs w:val="24"/>
          <w:highlight w:val="none"/>
        </w:rPr>
      </w:pPr>
      <w:bookmarkStart w:id="1" w:name="_Toc9026_WPSOffice_Level1"/>
      <w:r>
        <w:rPr>
          <w:rFonts w:hint="eastAsia" w:ascii="宋体" w:hAnsi="宋体" w:cs="宋体"/>
          <w:b/>
          <w:bCs/>
          <w:color w:val="auto"/>
          <w:sz w:val="32"/>
          <w:szCs w:val="32"/>
          <w:highlight w:val="none"/>
        </w:rPr>
        <w:t>投标承诺函</w:t>
      </w:r>
      <w:bookmarkEnd w:id="1"/>
      <w:bookmarkStart w:id="2" w:name="_Toc26293"/>
    </w:p>
    <w:bookmarkEnd w:id="2"/>
    <w:p w14:paraId="041B9492">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40"/>
        </w:tabs>
        <w:kinsoku/>
        <w:wordWrap/>
        <w:overflowPunct/>
        <w:topLinePunct w:val="0"/>
        <w:autoSpaceDE/>
        <w:autoSpaceDN/>
        <w:bidi w:val="0"/>
        <w:adjustRightInd/>
        <w:snapToGrid/>
        <w:spacing w:before="0" w:beforeAutospacing="0" w:after="0" w:afterAutospacing="0" w:line="440" w:lineRule="exact"/>
        <w:ind w:right="0" w:rightChars="0"/>
        <w:textAlignment w:val="auto"/>
        <w:rPr>
          <w:rFonts w:hint="eastAsia" w:ascii="宋体" w:hAnsi="宋体" w:eastAsia="宋体" w:cs="宋体"/>
          <w:color w:val="auto"/>
          <w:sz w:val="24"/>
          <w:szCs w:val="24"/>
          <w:highlight w:val="none"/>
        </w:rPr>
      </w:pPr>
    </w:p>
    <w:p w14:paraId="46098D85">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40"/>
        </w:tabs>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）投标行为做出承诺，保证所提交材料的真实性。 </w:t>
      </w:r>
    </w:p>
    <w:p w14:paraId="27C51A2D">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w:t>
      </w:r>
    </w:p>
    <w:p w14:paraId="3B9B9AE1">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文件递交截止时间后至确定成交人的投标有效期内，我单位不得要求退出竞标或者修改</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文件且对递交的</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 xml:space="preserve">文件负责，受其约束。 </w:t>
      </w:r>
    </w:p>
    <w:p w14:paraId="4AB4C166">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0"/>
        </w:tabs>
        <w:kinsoku/>
        <w:wordWrap/>
        <w:overflowPunct/>
        <w:topLinePunct w:val="0"/>
        <w:autoSpaceDE/>
        <w:autoSpaceDN/>
        <w:bidi w:val="0"/>
        <w:adjustRightInd/>
        <w:snapToGrid/>
        <w:spacing w:before="0" w:beforeAutospacing="0" w:after="0" w:afterAutospacing="0" w:line="56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若我单位中标，在接到成交通知书后，除不可抗力因素外，及时按规定与采购人签订合同并认真履约。 </w:t>
      </w:r>
    </w:p>
    <w:p w14:paraId="1A4173A8">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 </w:t>
      </w:r>
    </w:p>
    <w:p w14:paraId="4DBF650E">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不存在法律法规规定的其他违法违规行为。 </w:t>
      </w:r>
    </w:p>
    <w:p w14:paraId="6F6FB470">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400" w:right="0" w:rightChars="0"/>
        <w:textAlignment w:val="auto"/>
        <w:rPr>
          <w:rFonts w:hint="eastAsia" w:ascii="宋体" w:hAnsi="宋体" w:eastAsia="宋体" w:cs="宋体"/>
          <w:color w:val="auto"/>
          <w:sz w:val="24"/>
          <w:szCs w:val="24"/>
          <w:highlight w:val="none"/>
        </w:rPr>
      </w:pPr>
    </w:p>
    <w:p w14:paraId="05D7F6C5">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40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623F2E54">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400" w:right="0" w:rightChars="0"/>
        <w:textAlignment w:val="auto"/>
        <w:rPr>
          <w:rFonts w:hint="eastAsia" w:ascii="宋体" w:hAnsi="宋体" w:eastAsia="宋体" w:cs="宋体"/>
          <w:color w:val="auto"/>
          <w:sz w:val="24"/>
          <w:szCs w:val="24"/>
          <w:highlight w:val="none"/>
          <w:lang w:val="en-US" w:eastAsia="zh-CN"/>
        </w:rPr>
      </w:pPr>
    </w:p>
    <w:p w14:paraId="556ACC63">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400" w:right="0" w:rightChars="0" w:firstLine="960" w:firstLineChars="4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投标单位名称（盖章）：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3295438">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400" w:right="0" w:rightChars="0"/>
        <w:textAlignment w:val="auto"/>
        <w:rPr>
          <w:rFonts w:hint="eastAsia" w:ascii="宋体" w:hAnsi="宋体" w:eastAsia="宋体" w:cs="宋体"/>
          <w:color w:val="auto"/>
          <w:sz w:val="24"/>
          <w:szCs w:val="24"/>
          <w:highlight w:val="none"/>
        </w:rPr>
      </w:pPr>
    </w:p>
    <w:p w14:paraId="1DE56136">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400"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法人代表或授权委托人（签字或盖章）：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5AFE8002">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3600" w:firstLineChars="1500"/>
        <w:textAlignment w:val="auto"/>
        <w:rPr>
          <w:rFonts w:hint="eastAsia" w:ascii="宋体" w:hAnsi="宋体" w:eastAsia="宋体" w:cs="宋体"/>
          <w:color w:val="auto"/>
          <w:sz w:val="24"/>
          <w:szCs w:val="24"/>
          <w:highlight w:val="none"/>
        </w:rPr>
      </w:pPr>
    </w:p>
    <w:p w14:paraId="7EF64C4E">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w:t>
      </w:r>
    </w:p>
    <w:p w14:paraId="2CB21B0A">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87EF574">
      <w:pPr>
        <w:shd w:val="clear"/>
        <w:spacing w:line="560" w:lineRule="exact"/>
        <w:ind w:right="-315" w:rightChars="-150"/>
        <w:jc w:val="center"/>
        <w:rPr>
          <w:rFonts w:hint="eastAsia" w:ascii="宋体" w:hAnsi="宋体" w:cs="宋体"/>
          <w:color w:val="auto"/>
          <w:sz w:val="24"/>
          <w:szCs w:val="24"/>
          <w:highlight w:val="none"/>
        </w:rPr>
      </w:pPr>
      <w:r>
        <w:rPr>
          <w:rFonts w:hint="eastAsia" w:ascii="宋体" w:hAnsi="宋体" w:cs="宋体"/>
          <w:b/>
          <w:bCs/>
          <w:color w:val="auto"/>
          <w:sz w:val="32"/>
          <w:szCs w:val="32"/>
          <w:highlight w:val="none"/>
        </w:rPr>
        <w:t>供应商应当或认为应该提供的其它资料</w:t>
      </w:r>
    </w:p>
    <w:p w14:paraId="70C0F316">
      <w:pPr>
        <w:shd w:val="clear"/>
        <w:spacing w:line="52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491B3060">
      <w:pPr>
        <w:spacing w:line="360" w:lineRule="auto"/>
        <w:jc w:val="center"/>
        <w:rPr>
          <w:rFonts w:hint="eastAsia" w:ascii="宋体" w:hAnsi="宋体" w:eastAsia="宋体" w:cs="宋体"/>
          <w:b/>
          <w:bCs/>
          <w:sz w:val="32"/>
          <w:szCs w:val="32"/>
          <w:highlight w:val="none"/>
        </w:rPr>
      </w:pPr>
    </w:p>
    <w:p w14:paraId="7CF78EC9">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中小企业声明函</w:t>
      </w:r>
    </w:p>
    <w:p w14:paraId="7F308FE7">
      <w:pPr>
        <w:pStyle w:val="26"/>
        <w:rPr>
          <w:rFonts w:hint="eastAsia" w:ascii="宋体" w:hAnsi="宋体" w:eastAsia="宋体" w:cs="宋体"/>
          <w:highlight w:val="none"/>
        </w:rPr>
      </w:pPr>
    </w:p>
    <w:p w14:paraId="0006799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本公司（联合体）郑重声明，根据《政府采购促进中小企业发展管理办法》（财库﹝2020﹞46号）的规定，本公司参加</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（单位名称）</w:t>
      </w:r>
      <w:r>
        <w:rPr>
          <w:rFonts w:hint="eastAsia" w:ascii="宋体" w:hAnsi="宋体" w:eastAsia="宋体" w:cs="宋体"/>
          <w:sz w:val="24"/>
          <w:highlight w:val="none"/>
        </w:rPr>
        <w:t>的</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（项目名称）</w:t>
      </w:r>
      <w:r>
        <w:rPr>
          <w:rFonts w:hint="eastAsia" w:ascii="宋体" w:hAnsi="宋体" w:eastAsia="宋体" w:cs="宋体"/>
          <w:sz w:val="24"/>
          <w:highlight w:val="none"/>
        </w:rPr>
        <w:t xml:space="preserve">采购活动，提供的货物全部由符合政策要求的中小企业制造。相关企业（含联合体中的中小企业、签订分包意向协议的中小企业）的具体情况如下： </w:t>
      </w:r>
    </w:p>
    <w:p w14:paraId="694A18C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（标的名称） </w:t>
      </w:r>
      <w:r>
        <w:rPr>
          <w:rFonts w:hint="eastAsia" w:ascii="宋体" w:hAnsi="宋体" w:eastAsia="宋体" w:cs="宋体"/>
          <w:sz w:val="24"/>
          <w:highlight w:val="none"/>
        </w:rPr>
        <w:t>，属于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（采购文件中明确的所属行业） </w:t>
      </w:r>
      <w:r>
        <w:rPr>
          <w:rFonts w:hint="eastAsia" w:ascii="宋体" w:hAnsi="宋体" w:eastAsia="宋体" w:cs="宋体"/>
          <w:sz w:val="24"/>
          <w:highlight w:val="none"/>
        </w:rPr>
        <w:t>行业；制造商为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（企业名称）</w:t>
      </w:r>
      <w:r>
        <w:rPr>
          <w:rFonts w:hint="eastAsia" w:ascii="宋体" w:hAnsi="宋体" w:eastAsia="宋体" w:cs="宋体"/>
          <w:sz w:val="24"/>
          <w:highlight w:val="none"/>
        </w:rPr>
        <w:t>，从业人员</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（中型企业、小型企业、微型企业）</w:t>
      </w:r>
      <w:r>
        <w:rPr>
          <w:rFonts w:hint="eastAsia" w:ascii="宋体" w:hAnsi="宋体" w:eastAsia="宋体" w:cs="宋体"/>
          <w:sz w:val="24"/>
          <w:highlight w:val="none"/>
        </w:rPr>
        <w:t xml:space="preserve">； </w:t>
      </w:r>
    </w:p>
    <w:p w14:paraId="6C98FAF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（标的名称） </w:t>
      </w:r>
      <w:r>
        <w:rPr>
          <w:rFonts w:hint="eastAsia" w:ascii="宋体" w:hAnsi="宋体" w:eastAsia="宋体" w:cs="宋体"/>
          <w:sz w:val="24"/>
          <w:highlight w:val="none"/>
        </w:rPr>
        <w:t>，属于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（采购文件中明确的所属行业） </w:t>
      </w:r>
      <w:r>
        <w:rPr>
          <w:rFonts w:hint="eastAsia" w:ascii="宋体" w:hAnsi="宋体" w:eastAsia="宋体" w:cs="宋体"/>
          <w:sz w:val="24"/>
          <w:highlight w:val="none"/>
        </w:rPr>
        <w:t>行业；制造商为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（企业名称）</w:t>
      </w:r>
      <w:r>
        <w:rPr>
          <w:rFonts w:hint="eastAsia" w:ascii="宋体" w:hAnsi="宋体" w:eastAsia="宋体" w:cs="宋体"/>
          <w:sz w:val="24"/>
          <w:highlight w:val="none"/>
        </w:rPr>
        <w:t>，从业人员</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（中型企业、小型企业、微型企业）</w:t>
      </w:r>
      <w:r>
        <w:rPr>
          <w:rFonts w:hint="eastAsia" w:ascii="宋体" w:hAnsi="宋体" w:eastAsia="宋体" w:cs="宋体"/>
          <w:sz w:val="24"/>
          <w:highlight w:val="none"/>
        </w:rPr>
        <w:t xml:space="preserve">；  </w:t>
      </w:r>
    </w:p>
    <w:p w14:paraId="56A9C85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p w14:paraId="743EF74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078EA65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本企业对上述声明内容的真实性负责。如有虚假，将依法承担相应责任。 </w:t>
      </w:r>
    </w:p>
    <w:p w14:paraId="6C79B13E">
      <w:pPr>
        <w:spacing w:line="360" w:lineRule="auto"/>
        <w:ind w:firstLine="480" w:firstLineChars="200"/>
        <w:rPr>
          <w:rFonts w:hint="eastAsia" w:ascii="宋体" w:hAnsi="宋体" w:eastAsia="宋体" w:cs="宋体"/>
          <w:sz w:val="24"/>
          <w:highlight w:val="none"/>
        </w:rPr>
      </w:pPr>
    </w:p>
    <w:p w14:paraId="472EB1F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单位名称（盖章）： </w:t>
      </w:r>
    </w:p>
    <w:p w14:paraId="558A586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日 期： </w:t>
      </w:r>
    </w:p>
    <w:p w14:paraId="4F8271B2">
      <w:pPr>
        <w:spacing w:line="360" w:lineRule="auto"/>
        <w:ind w:firstLine="480" w:firstLineChars="200"/>
        <w:rPr>
          <w:rFonts w:hint="eastAsia" w:ascii="宋体" w:hAnsi="宋体" w:eastAsia="宋体" w:cs="宋体"/>
          <w:sz w:val="24"/>
          <w:highlight w:val="none"/>
        </w:rPr>
      </w:pPr>
    </w:p>
    <w:p w14:paraId="31DBE469">
      <w:pPr>
        <w:spacing w:line="560" w:lineRule="exact"/>
        <w:ind w:left="5" w:firstLine="518" w:firstLineChars="216"/>
        <w:rPr>
          <w:rFonts w:ascii="宋体" w:hAnsi="宋体" w:cs="宋体"/>
          <w:sz w:val="24"/>
          <w:highlight w:val="none"/>
        </w:rPr>
      </w:pPr>
      <w:bookmarkStart w:id="3" w:name="OLE_LINK13"/>
      <w:r>
        <w:rPr>
          <w:rFonts w:hint="eastAsia" w:ascii="宋体" w:hAnsi="宋体" w:cs="宋体"/>
          <w:sz w:val="24"/>
          <w:highlight w:val="none"/>
        </w:rPr>
        <w:t>注：1、</w:t>
      </w:r>
      <w:r>
        <w:rPr>
          <w:rFonts w:ascii="宋体" w:hAnsi="宋体" w:cs="宋体"/>
          <w:sz w:val="24"/>
          <w:highlight w:val="none"/>
        </w:rPr>
        <w:t>从业人员、营业收入、资产总额填报上一年度数据，无上一年度数据的新成立企业可不填报。</w:t>
      </w:r>
    </w:p>
    <w:p w14:paraId="36E5C545">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供应商提供的声明函将在中标后随中标公告一并公示，若声明函内容不实的，将依照《政府采购法》等国家有关规定追究相应责任。</w:t>
      </w:r>
    </w:p>
    <w:p w14:paraId="1845FB5E">
      <w:pPr>
        <w:spacing w:line="560" w:lineRule="exact"/>
        <w:ind w:firstLine="480" w:firstLineChars="200"/>
        <w:rPr>
          <w:rFonts w:hint="eastAsia" w:ascii="宋体" w:hAnsi="宋体" w:eastAsia="宋体" w:cs="宋体"/>
          <w:b/>
          <w:spacing w:val="6"/>
          <w:sz w:val="32"/>
          <w:szCs w:val="32"/>
          <w:highlight w:val="none"/>
        </w:rPr>
      </w:pPr>
      <w:r>
        <w:rPr>
          <w:rFonts w:hint="eastAsia" w:ascii="宋体" w:hAnsi="宋体" w:cs="宋体"/>
          <w:sz w:val="24"/>
          <w:highlight w:val="none"/>
          <w:lang w:val="en-US" w:eastAsia="zh-CN"/>
        </w:rPr>
        <w:t>3、</w:t>
      </w:r>
      <w:r>
        <w:rPr>
          <w:rFonts w:hint="eastAsia" w:ascii="宋体" w:hAnsi="宋体" w:cs="宋体"/>
          <w:sz w:val="24"/>
          <w:highlight w:val="none"/>
        </w:rPr>
        <w:t>本项目行业：农、林、牧、渔业。</w:t>
      </w:r>
      <w:r>
        <w:rPr>
          <w:rFonts w:hint="eastAsia" w:ascii="宋体" w:hAnsi="宋体" w:eastAsia="宋体" w:cs="宋体"/>
          <w:b/>
          <w:spacing w:val="6"/>
          <w:sz w:val="32"/>
          <w:szCs w:val="32"/>
          <w:highlight w:val="none"/>
        </w:rPr>
        <w:br w:type="page"/>
      </w:r>
    </w:p>
    <w:p w14:paraId="7C36C975">
      <w:pPr>
        <w:spacing w:line="588" w:lineRule="exact"/>
        <w:jc w:val="center"/>
        <w:outlineLvl w:val="0"/>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残疾人福利性单位声明函</w:t>
      </w:r>
      <w:r>
        <w:rPr>
          <w:rFonts w:hint="eastAsia" w:ascii="宋体" w:hAnsi="宋体" w:eastAsia="宋体" w:cs="宋体"/>
          <w:b/>
          <w:bCs/>
          <w:sz w:val="32"/>
          <w:szCs w:val="32"/>
          <w:highlight w:val="none"/>
        </w:rPr>
        <w:t>（如是需提供）</w:t>
      </w:r>
    </w:p>
    <w:bookmarkEnd w:id="3"/>
    <w:p w14:paraId="7ACE6295">
      <w:pPr>
        <w:spacing w:line="588" w:lineRule="exact"/>
        <w:rPr>
          <w:rFonts w:hint="eastAsia" w:ascii="宋体" w:hAnsi="宋体" w:eastAsia="宋体" w:cs="宋体"/>
          <w:spacing w:val="6"/>
          <w:sz w:val="24"/>
          <w:highlight w:val="none"/>
        </w:rPr>
      </w:pPr>
    </w:p>
    <w:p w14:paraId="45A00381">
      <w:pPr>
        <w:spacing w:line="588" w:lineRule="exact"/>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 民政部 中国残疾人联合会关于促进残疾人就业政府采购政策的通知》（财库</w:t>
      </w:r>
      <w:r>
        <w:rPr>
          <w:rFonts w:hint="eastAsia" w:ascii="宋体" w:hAnsi="宋体" w:eastAsia="宋体" w:cs="宋体"/>
          <w:sz w:val="24"/>
          <w:highlight w:val="none"/>
        </w:rPr>
        <w:t>〔2017〕 141</w:t>
      </w:r>
      <w:r>
        <w:rPr>
          <w:rFonts w:hint="eastAsia" w:ascii="宋体" w:hAnsi="宋体" w:eastAsia="宋体" w:cs="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088902">
      <w:pPr>
        <w:spacing w:line="588" w:lineRule="exact"/>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本单位对上述声明的真实性负责。如有虚假，将依法承担相应责任。</w:t>
      </w:r>
    </w:p>
    <w:p w14:paraId="343029EA">
      <w:pPr>
        <w:spacing w:line="588" w:lineRule="exact"/>
        <w:ind w:firstLine="504" w:firstLineChars="200"/>
        <w:rPr>
          <w:rFonts w:hint="eastAsia" w:ascii="宋体" w:hAnsi="宋体" w:eastAsia="宋体" w:cs="宋体"/>
          <w:spacing w:val="6"/>
          <w:sz w:val="24"/>
          <w:highlight w:val="none"/>
        </w:rPr>
      </w:pPr>
    </w:p>
    <w:p w14:paraId="4EE53AD8">
      <w:pPr>
        <w:spacing w:line="588" w:lineRule="exact"/>
        <w:ind w:firstLine="504" w:firstLineChars="200"/>
        <w:rPr>
          <w:rFonts w:hint="eastAsia" w:ascii="宋体" w:hAnsi="宋体" w:eastAsia="宋体" w:cs="宋体"/>
          <w:spacing w:val="6"/>
          <w:sz w:val="24"/>
          <w:highlight w:val="none"/>
        </w:rPr>
      </w:pPr>
    </w:p>
    <w:p w14:paraId="548AB605">
      <w:pPr>
        <w:keepNext w:val="0"/>
        <w:keepLines w:val="0"/>
        <w:pageBreakBefore w:val="0"/>
        <w:widowControl w:val="0"/>
        <w:tabs>
          <w:tab w:val="left" w:pos="4860"/>
        </w:tabs>
        <w:kinsoku/>
        <w:wordWrap/>
        <w:overflowPunct/>
        <w:topLinePunct w:val="0"/>
        <w:autoSpaceDE/>
        <w:autoSpaceDN/>
        <w:bidi w:val="0"/>
        <w:adjustRightInd/>
        <w:snapToGrid/>
        <w:spacing w:line="480" w:lineRule="auto"/>
        <w:ind w:right="1560"/>
        <w:jc w:val="right"/>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供应商名称（单位公章）</w:t>
      </w:r>
    </w:p>
    <w:p w14:paraId="444565B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highlight w:val="none"/>
        </w:rPr>
      </w:pPr>
      <w:r>
        <w:rPr>
          <w:rFonts w:hint="eastAsia" w:ascii="宋体" w:hAnsi="宋体" w:eastAsia="宋体" w:cs="宋体"/>
          <w:spacing w:val="6"/>
          <w:sz w:val="24"/>
          <w:highlight w:val="none"/>
        </w:rPr>
        <w:t xml:space="preserve">       日  期</w:t>
      </w:r>
    </w:p>
    <w:p w14:paraId="4C41B9FC">
      <w:pPr>
        <w:spacing w:line="360" w:lineRule="auto"/>
        <w:jc w:val="center"/>
        <w:rPr>
          <w:rFonts w:hint="eastAsia" w:ascii="宋体" w:hAnsi="宋体" w:eastAsia="宋体" w:cs="宋体"/>
          <w:b/>
          <w:bCs/>
          <w:sz w:val="24"/>
          <w:highlight w:val="none"/>
        </w:rPr>
      </w:pPr>
    </w:p>
    <w:p w14:paraId="26DB4B95">
      <w:pPr>
        <w:spacing w:line="360" w:lineRule="auto"/>
        <w:jc w:val="center"/>
        <w:rPr>
          <w:rFonts w:hint="eastAsia" w:ascii="宋体" w:hAnsi="宋体" w:eastAsia="宋体" w:cs="宋体"/>
          <w:b/>
          <w:bCs/>
          <w:sz w:val="24"/>
          <w:highlight w:val="none"/>
        </w:rPr>
      </w:pPr>
    </w:p>
    <w:p w14:paraId="0160CFAE">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注：不填写或不提交本函的，视为不适用相关政策</w:t>
      </w:r>
      <w:r>
        <w:rPr>
          <w:rFonts w:hint="eastAsia" w:ascii="宋体" w:hAnsi="宋体" w:eastAsia="宋体" w:cs="宋体"/>
          <w:color w:val="auto"/>
          <w:sz w:val="24"/>
          <w:szCs w:val="24"/>
          <w:highlight w:val="none"/>
        </w:rPr>
        <w:t>。</w:t>
      </w:r>
    </w:p>
    <w:p w14:paraId="485D1831">
      <w:pPr>
        <w:spacing w:line="360" w:lineRule="auto"/>
        <w:jc w:val="center"/>
        <w:rPr>
          <w:rFonts w:hint="eastAsia" w:ascii="宋体" w:hAnsi="宋体" w:eastAsia="宋体" w:cs="宋体"/>
          <w:b/>
          <w:bCs/>
          <w:sz w:val="24"/>
          <w:highlight w:val="none"/>
        </w:rPr>
      </w:pPr>
    </w:p>
    <w:p w14:paraId="4ADCA35B">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1E27D4BD">
      <w:pPr>
        <w:shd w:val="clear"/>
        <w:spacing w:line="520" w:lineRule="exact"/>
        <w:jc w:val="both"/>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附件一：</w:t>
      </w:r>
    </w:p>
    <w:p w14:paraId="2B9E65D9">
      <w:pPr>
        <w:shd w:val="clear"/>
        <w:spacing w:line="520" w:lineRule="exact"/>
        <w:jc w:val="center"/>
        <w:rPr>
          <w:rFonts w:ascii="宋体" w:hAnsi="宋体" w:eastAsia="宋体" w:cs="宋体"/>
          <w:b/>
          <w:bCs/>
          <w:color w:val="auto"/>
          <w:kern w:val="0"/>
          <w:sz w:val="32"/>
          <w:szCs w:val="32"/>
          <w:highlight w:val="none"/>
        </w:rPr>
      </w:pPr>
      <w:r>
        <w:rPr>
          <w:rFonts w:hint="eastAsia"/>
          <w:b/>
          <w:bCs/>
          <w:color w:val="auto"/>
          <w:sz w:val="32"/>
          <w:szCs w:val="32"/>
          <w:highlight w:val="none"/>
          <w:lang w:val="en-US" w:eastAsia="zh-CN"/>
        </w:rPr>
        <w:t>沁阳市</w:t>
      </w:r>
      <w:r>
        <w:rPr>
          <w:rFonts w:hint="eastAsia"/>
          <w:b/>
          <w:bCs/>
          <w:color w:val="auto"/>
          <w:sz w:val="32"/>
          <w:szCs w:val="32"/>
          <w:highlight w:val="none"/>
          <w:lang w:eastAsia="zh-CN"/>
        </w:rPr>
        <w:t>政府采购供应商资格信用承诺函</w:t>
      </w:r>
    </w:p>
    <w:p w14:paraId="32D7D243">
      <w:pPr>
        <w:shd w:val="clear"/>
        <w:spacing w:line="360" w:lineRule="auto"/>
        <w:ind w:firstLine="560" w:firstLineChars="200"/>
        <w:rPr>
          <w:rFonts w:ascii="宋体" w:hAnsi="宋体" w:cs="宋体"/>
          <w:color w:val="auto"/>
          <w:sz w:val="28"/>
          <w:szCs w:val="36"/>
          <w:highlight w:val="none"/>
          <w:lang w:eastAsia="zh-CN"/>
        </w:rPr>
      </w:pPr>
    </w:p>
    <w:p w14:paraId="337B0A87">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致</w:t>
      </w:r>
      <w:r>
        <w:rPr>
          <w:rFonts w:hint="eastAsia" w:ascii="仿宋" w:hAnsi="仿宋" w:eastAsia="仿宋" w:cs="仿宋"/>
          <w:color w:val="auto"/>
          <w:sz w:val="28"/>
          <w:szCs w:val="36"/>
          <w:highlight w:val="none"/>
          <w:u w:val="single"/>
          <w:lang w:eastAsia="zh-CN"/>
        </w:rPr>
        <w:t>(采购人或采购代理机构)</w:t>
      </w:r>
      <w:r>
        <w:rPr>
          <w:rFonts w:hint="eastAsia" w:ascii="仿宋" w:hAnsi="仿宋" w:eastAsia="仿宋" w:cs="仿宋"/>
          <w:color w:val="auto"/>
          <w:sz w:val="28"/>
          <w:szCs w:val="36"/>
          <w:highlight w:val="none"/>
          <w:lang w:eastAsia="zh-CN"/>
        </w:rPr>
        <w:t>:</w:t>
      </w:r>
    </w:p>
    <w:p w14:paraId="2E2F6FD5">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供应商名称:</w:t>
      </w:r>
    </w:p>
    <w:p w14:paraId="307D4DEE">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统一社会信用代码:</w:t>
      </w:r>
    </w:p>
    <w:p w14:paraId="405636BC">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供应商地址:</w:t>
      </w:r>
    </w:p>
    <w:p w14:paraId="77D332D1">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4C92188">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1.我单位具有符合采购文件资格要求独立承担民事责任的能力。</w:t>
      </w:r>
    </w:p>
    <w:p w14:paraId="0742044D">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2.我单位具有符合采购文件资格要求的财务状况报告。</w:t>
      </w:r>
    </w:p>
    <w:p w14:paraId="1B739CF9">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3.我单位具有符合采购文件资格要求的依法缴纳税收和社会保障记录的良好记录。</w:t>
      </w:r>
    </w:p>
    <w:p w14:paraId="2C5225E7">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4.我单位具有符合采购文件资格要求履行合同所必需的设备和专业技术能力。</w:t>
      </w:r>
    </w:p>
    <w:p w14:paraId="4037697C">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5.参加政府采购活动前三年内，在经营活动中没有重大违法记录。</w:t>
      </w:r>
    </w:p>
    <w:p w14:paraId="5740A9A8">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若我单位承诺不实，自愿承担提供虚假材料谋取中标、成交的法律责任。</w:t>
      </w:r>
    </w:p>
    <w:p w14:paraId="5A046119">
      <w:pPr>
        <w:shd w:val="clear"/>
        <w:spacing w:line="360" w:lineRule="auto"/>
        <w:ind w:left="2730" w:leftChars="1300" w:firstLine="560" w:firstLineChars="200"/>
        <w:jc w:val="both"/>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承诺供应商(全称并加盖公章):</w:t>
      </w:r>
    </w:p>
    <w:p w14:paraId="1E43385F">
      <w:pPr>
        <w:shd w:val="clear"/>
        <w:spacing w:line="360" w:lineRule="auto"/>
        <w:ind w:left="2730" w:leftChars="1300" w:firstLine="560" w:firstLineChars="200"/>
        <w:jc w:val="both"/>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法定代表人或授权代表(签字或签章):</w:t>
      </w:r>
    </w:p>
    <w:p w14:paraId="77D59B54">
      <w:pPr>
        <w:shd w:val="clear"/>
        <w:spacing w:line="360" w:lineRule="auto"/>
        <w:ind w:left="2730" w:leftChars="1300" w:firstLine="560" w:firstLineChars="200"/>
        <w:jc w:val="both"/>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日期:</w:t>
      </w:r>
      <w:r>
        <w:rPr>
          <w:rFonts w:hint="eastAsia" w:ascii="仿宋" w:hAnsi="仿宋" w:eastAsia="仿宋" w:cs="仿宋"/>
          <w:color w:val="auto"/>
          <w:sz w:val="28"/>
          <w:szCs w:val="36"/>
          <w:highlight w:val="none"/>
          <w:lang w:eastAsia="zh-CN"/>
        </w:rPr>
        <w:tab/>
      </w:r>
      <w:r>
        <w:rPr>
          <w:rFonts w:hint="eastAsia" w:ascii="仿宋" w:hAnsi="仿宋" w:eastAsia="仿宋" w:cs="仿宋"/>
          <w:color w:val="auto"/>
          <w:sz w:val="28"/>
          <w:szCs w:val="36"/>
          <w:highlight w:val="none"/>
          <w:lang w:eastAsia="zh-CN"/>
        </w:rPr>
        <w:t>年月日</w:t>
      </w:r>
      <w:r>
        <w:rPr>
          <w:rFonts w:hint="eastAsia" w:ascii="仿宋" w:hAnsi="仿宋" w:eastAsia="仿宋" w:cs="仿宋"/>
          <w:color w:val="auto"/>
          <w:sz w:val="28"/>
          <w:szCs w:val="36"/>
          <w:highlight w:val="none"/>
          <w:lang w:eastAsia="zh-CN"/>
        </w:rPr>
        <w:tab/>
      </w:r>
    </w:p>
    <w:p w14:paraId="42C02E17">
      <w:pPr>
        <w:shd w:val="clear"/>
        <w:spacing w:line="360" w:lineRule="auto"/>
        <w:ind w:firstLine="560" w:firstLineChars="200"/>
        <w:rPr>
          <w:rFonts w:ascii="仿宋" w:hAnsi="仿宋" w:eastAsia="仿宋" w:cs="仿宋"/>
          <w:color w:val="auto"/>
          <w:sz w:val="28"/>
          <w:szCs w:val="36"/>
          <w:highlight w:val="none"/>
          <w:lang w:eastAsia="zh-CN"/>
        </w:rPr>
      </w:pPr>
    </w:p>
    <w:p w14:paraId="379F5196">
      <w:pPr>
        <w:shd w:val="clear"/>
        <w:spacing w:line="360" w:lineRule="auto"/>
        <w:ind w:firstLine="562" w:firstLineChars="200"/>
        <w:rPr>
          <w:rFonts w:ascii="仿宋" w:hAnsi="仿宋" w:eastAsia="仿宋" w:cs="仿宋"/>
          <w:color w:val="auto"/>
          <w:sz w:val="28"/>
          <w:szCs w:val="36"/>
          <w:highlight w:val="none"/>
          <w:lang w:eastAsia="zh-CN"/>
        </w:rPr>
      </w:pPr>
      <w:r>
        <w:rPr>
          <w:rFonts w:hint="eastAsia" w:ascii="仿宋" w:hAnsi="仿宋" w:eastAsia="仿宋" w:cs="仿宋"/>
          <w:b/>
          <w:bCs/>
          <w:color w:val="auto"/>
          <w:sz w:val="28"/>
          <w:szCs w:val="36"/>
          <w:highlight w:val="none"/>
          <w:lang w:eastAsia="zh-CN"/>
        </w:rPr>
        <w:t>注:</w:t>
      </w:r>
      <w:r>
        <w:rPr>
          <w:rFonts w:hint="eastAsia" w:ascii="仿宋" w:hAnsi="仿宋" w:eastAsia="仿宋" w:cs="仿宋"/>
          <w:color w:val="auto"/>
          <w:sz w:val="28"/>
          <w:szCs w:val="36"/>
          <w:highlight w:val="none"/>
          <w:lang w:eastAsia="zh-CN"/>
        </w:rPr>
        <w:t>1.供应商须在投标文件中按此模板提供承诺函，未提供视为未实质性响应招标文件要求，按无效投标处理。</w:t>
      </w:r>
    </w:p>
    <w:p w14:paraId="1BA47667">
      <w:pPr>
        <w:shd w:val="clear"/>
        <w:spacing w:line="360" w:lineRule="auto"/>
        <w:ind w:firstLine="560" w:firstLineChars="200"/>
        <w:rPr>
          <w:rFonts w:hint="eastAsia" w:ascii="宋体" w:hAnsi="宋体" w:eastAsia="宋体" w:cs="宋体"/>
          <w:b/>
          <w:bCs/>
          <w:color w:val="auto"/>
          <w:sz w:val="44"/>
          <w:szCs w:val="44"/>
          <w:highlight w:val="none"/>
          <w:lang w:val="en-US" w:eastAsia="zh-CN"/>
        </w:rPr>
      </w:pPr>
      <w:r>
        <w:rPr>
          <w:rFonts w:hint="eastAsia" w:ascii="仿宋" w:hAnsi="仿宋" w:eastAsia="仿宋" w:cs="仿宋"/>
          <w:color w:val="auto"/>
          <w:sz w:val="28"/>
          <w:szCs w:val="36"/>
          <w:highlight w:val="none"/>
          <w:lang w:eastAsia="zh-CN"/>
        </w:rPr>
        <w:t>2.供应商的法定代表人(其他组织的为负责人)或者授权代表的签字或盖章应真实、有效，如由授权代表签字或盖章的，应提供“法定代表人授权书”。</w:t>
      </w:r>
    </w:p>
    <w:p w14:paraId="77BC2E21">
      <w:pPr>
        <w:rPr>
          <w:rFonts w:hint="eastAsia"/>
          <w:b/>
          <w:bCs/>
          <w:sz w:val="24"/>
          <w:highlight w:val="none"/>
        </w:rPr>
      </w:pPr>
      <w:r>
        <w:rPr>
          <w:rFonts w:hint="eastAsia"/>
          <w:b/>
          <w:bCs/>
          <w:sz w:val="24"/>
          <w:highlight w:val="none"/>
        </w:rPr>
        <w:br w:type="page"/>
      </w:r>
    </w:p>
    <w:p w14:paraId="4CFB11C7">
      <w:pPr>
        <w:rPr>
          <w:b/>
          <w:bCs/>
          <w:sz w:val="24"/>
          <w:highlight w:val="none"/>
        </w:rPr>
      </w:pPr>
      <w:r>
        <w:rPr>
          <w:rFonts w:hint="eastAsia"/>
          <w:b/>
          <w:bCs/>
          <w:sz w:val="24"/>
          <w:highlight w:val="none"/>
        </w:rPr>
        <w:t>附件二：技术参数要求</w:t>
      </w:r>
    </w:p>
    <w:p w14:paraId="36968C64">
      <w:pPr>
        <w:rPr>
          <w:rFonts w:hint="eastAsia" w:ascii="仿宋_GB2312" w:hAnsi="宋体" w:eastAsia="仿宋_GB2312" w:cs="宋体"/>
          <w:kern w:val="0"/>
          <w:sz w:val="28"/>
          <w:szCs w:val="28"/>
          <w:highlight w:val="none"/>
          <w:lang w:val="en-US" w:eastAsia="zh-CN"/>
        </w:rPr>
      </w:pPr>
    </w:p>
    <w:p w14:paraId="778A368A">
      <w:pPr>
        <w:tabs>
          <w:tab w:val="left" w:pos="360"/>
          <w:tab w:val="left" w:pos="540"/>
          <w:tab w:val="left" w:pos="720"/>
        </w:tabs>
        <w:adjustRightInd w:val="0"/>
        <w:spacing w:line="360" w:lineRule="auto"/>
        <w:ind w:firstLine="480" w:firstLineChars="200"/>
        <w:jc w:val="left"/>
        <w:textAlignment w:val="baseline"/>
        <w:rPr>
          <w:rFonts w:hint="eastAsia" w:ascii="Calibri" w:hAnsi="Calibri" w:eastAsia="宋体" w:cs="宋体"/>
          <w:color w:val="auto"/>
          <w:sz w:val="24"/>
          <w:szCs w:val="21"/>
          <w:highlight w:val="none"/>
          <w:lang w:val="en-US" w:eastAsia="zh-CN"/>
        </w:rPr>
      </w:pPr>
      <w:r>
        <w:rPr>
          <w:rFonts w:hint="eastAsia" w:ascii="Calibri" w:hAnsi="Calibri" w:eastAsia="宋体" w:cs="宋体"/>
          <w:color w:val="auto"/>
          <w:sz w:val="24"/>
          <w:szCs w:val="21"/>
          <w:highlight w:val="none"/>
          <w:lang w:val="en-US" w:eastAsia="zh-CN"/>
        </w:rPr>
        <w:t>一、项目介绍：</w:t>
      </w:r>
    </w:p>
    <w:p w14:paraId="0F1A0E42">
      <w:pPr>
        <w:tabs>
          <w:tab w:val="left" w:pos="360"/>
          <w:tab w:val="left" w:pos="540"/>
          <w:tab w:val="left" w:pos="720"/>
        </w:tabs>
        <w:adjustRightInd w:val="0"/>
        <w:spacing w:line="360" w:lineRule="auto"/>
        <w:ind w:firstLine="480" w:firstLineChars="200"/>
        <w:jc w:val="left"/>
        <w:textAlignment w:val="baseline"/>
        <w:rPr>
          <w:rFonts w:hint="eastAsia" w:ascii="Calibri" w:hAnsi="Calibri" w:eastAsia="宋体" w:cs="宋体"/>
          <w:color w:val="auto"/>
          <w:sz w:val="24"/>
          <w:szCs w:val="21"/>
          <w:highlight w:val="none"/>
          <w:lang w:val="en-US" w:eastAsia="zh-CN"/>
        </w:rPr>
      </w:pPr>
      <w:r>
        <w:rPr>
          <w:rFonts w:hint="eastAsia" w:ascii="Calibri" w:hAnsi="Calibri" w:eastAsia="宋体" w:cs="宋体"/>
          <w:color w:val="auto"/>
          <w:sz w:val="24"/>
          <w:szCs w:val="21"/>
          <w:highlight w:val="none"/>
          <w:lang w:val="en-US" w:eastAsia="zh-CN"/>
        </w:rPr>
        <w:t>本项目为采购5800瓶小麦拌种剂（500g/瓶），实施区域位于河南省焦作市沁阳市，涉及全市13个乡镇（街道），共计3万多亩</w:t>
      </w:r>
    </w:p>
    <w:p w14:paraId="4BA345EC">
      <w:pPr>
        <w:tabs>
          <w:tab w:val="left" w:pos="360"/>
          <w:tab w:val="left" w:pos="540"/>
          <w:tab w:val="left" w:pos="720"/>
        </w:tabs>
        <w:adjustRightInd w:val="0"/>
        <w:spacing w:line="360" w:lineRule="auto"/>
        <w:ind w:firstLine="480" w:firstLineChars="200"/>
        <w:jc w:val="left"/>
        <w:textAlignment w:val="baseline"/>
        <w:rPr>
          <w:rFonts w:hint="eastAsia" w:ascii="Calibri" w:hAnsi="Calibri" w:eastAsia="宋体" w:cs="宋体"/>
          <w:color w:val="auto"/>
          <w:sz w:val="24"/>
          <w:szCs w:val="21"/>
          <w:highlight w:val="none"/>
          <w:lang w:val="en-US" w:eastAsia="zh-CN"/>
        </w:rPr>
      </w:pPr>
      <w:r>
        <w:rPr>
          <w:rFonts w:hint="eastAsia" w:ascii="Calibri" w:hAnsi="Calibri" w:eastAsia="宋体" w:cs="宋体"/>
          <w:color w:val="auto"/>
          <w:sz w:val="24"/>
          <w:szCs w:val="21"/>
          <w:highlight w:val="none"/>
          <w:lang w:val="en-US" w:eastAsia="zh-CN"/>
        </w:rPr>
        <w:t>二、项目内容及要求：</w:t>
      </w:r>
    </w:p>
    <w:p w14:paraId="0DA84A83">
      <w:pPr>
        <w:tabs>
          <w:tab w:val="left" w:pos="360"/>
          <w:tab w:val="left" w:pos="540"/>
          <w:tab w:val="left" w:pos="720"/>
        </w:tabs>
        <w:adjustRightInd w:val="0"/>
        <w:spacing w:line="360" w:lineRule="auto"/>
        <w:ind w:firstLine="480" w:firstLineChars="200"/>
        <w:jc w:val="left"/>
        <w:textAlignment w:val="baseline"/>
        <w:rPr>
          <w:rFonts w:hint="eastAsia" w:ascii="Calibri" w:hAnsi="Calibri" w:eastAsia="宋体" w:cs="宋体"/>
          <w:color w:val="auto"/>
          <w:sz w:val="24"/>
          <w:szCs w:val="21"/>
          <w:highlight w:val="none"/>
          <w:lang w:val="en-US" w:eastAsia="zh-CN"/>
        </w:rPr>
      </w:pPr>
      <w:r>
        <w:rPr>
          <w:rFonts w:hint="eastAsia" w:ascii="Calibri" w:hAnsi="Calibri" w:eastAsia="宋体" w:cs="宋体"/>
          <w:color w:val="auto"/>
          <w:sz w:val="24"/>
          <w:szCs w:val="21"/>
          <w:highlight w:val="none"/>
          <w:lang w:val="en-US" w:eastAsia="zh-CN"/>
        </w:rPr>
        <w:t>1.技术服务的范围：本项目的实施区域位于河南省焦作市沁阳市，涉及全市13个乡镇（街道），共计3万多亩。</w:t>
      </w:r>
    </w:p>
    <w:p w14:paraId="5BD1411B">
      <w:pPr>
        <w:tabs>
          <w:tab w:val="left" w:pos="360"/>
          <w:tab w:val="left" w:pos="540"/>
          <w:tab w:val="left" w:pos="720"/>
        </w:tabs>
        <w:adjustRightInd w:val="0"/>
        <w:spacing w:line="360" w:lineRule="auto"/>
        <w:ind w:firstLine="480" w:firstLineChars="200"/>
        <w:jc w:val="left"/>
        <w:textAlignment w:val="baseline"/>
        <w:rPr>
          <w:rFonts w:hint="eastAsia" w:ascii="Calibri" w:hAnsi="Calibri" w:eastAsia="宋体" w:cs="宋体"/>
          <w:color w:val="auto"/>
          <w:sz w:val="24"/>
          <w:szCs w:val="21"/>
          <w:highlight w:val="none"/>
          <w:lang w:val="en-US" w:eastAsia="zh-CN"/>
        </w:rPr>
      </w:pPr>
      <w:r>
        <w:rPr>
          <w:rFonts w:hint="eastAsia" w:ascii="Calibri" w:hAnsi="Calibri" w:eastAsia="宋体" w:cs="宋体"/>
          <w:color w:val="auto"/>
          <w:sz w:val="24"/>
          <w:szCs w:val="21"/>
          <w:highlight w:val="none"/>
          <w:lang w:val="en-US" w:eastAsia="zh-CN"/>
        </w:rPr>
        <w:t>2.技术服务内容：采购27%苯醚·咯·噻虫种子处理悬浮剂（悬浮种衣剂）的供货、运输、保险、装卸、验收交付、培训、技术支持及相关伴随服务。。</w:t>
      </w:r>
    </w:p>
    <w:p w14:paraId="6B2CD89B">
      <w:pPr>
        <w:tabs>
          <w:tab w:val="left" w:pos="360"/>
          <w:tab w:val="left" w:pos="540"/>
          <w:tab w:val="left" w:pos="720"/>
        </w:tabs>
        <w:adjustRightInd w:val="0"/>
        <w:spacing w:line="360" w:lineRule="auto"/>
        <w:ind w:firstLine="480" w:firstLineChars="200"/>
        <w:jc w:val="left"/>
        <w:textAlignment w:val="baseline"/>
        <w:rPr>
          <w:rFonts w:hint="eastAsia" w:ascii="Calibri" w:hAnsi="Calibri" w:eastAsia="宋体" w:cs="宋体"/>
          <w:color w:val="auto"/>
          <w:sz w:val="24"/>
          <w:szCs w:val="21"/>
          <w:highlight w:val="none"/>
          <w:lang w:val="en-US" w:eastAsia="zh-CN"/>
        </w:rPr>
      </w:pPr>
      <w:r>
        <w:rPr>
          <w:rFonts w:hint="eastAsia" w:ascii="Calibri" w:hAnsi="Calibri" w:eastAsia="宋体" w:cs="宋体"/>
          <w:color w:val="auto"/>
          <w:sz w:val="24"/>
          <w:szCs w:val="21"/>
          <w:highlight w:val="none"/>
          <w:lang w:val="en-US" w:eastAsia="zh-CN"/>
        </w:rPr>
        <w:t>3.技术服务标准：供应商若是生产企业的，拟提供产品必须具有“三证”（生产许可证或生产批准证、农药登记证、产品标准证，农药产品登记作物或范围须包含小麦）；供应商若为经销商的须提供农药经营许可证和生产企业的“三证”（生产许可证或生产批准证、农药登记证、产品标准证，农药产品登记作物或范围须包含小麦）证明材料的扫描件。</w:t>
      </w:r>
    </w:p>
    <w:p w14:paraId="5AD367B4">
      <w:pPr>
        <w:tabs>
          <w:tab w:val="left" w:pos="360"/>
          <w:tab w:val="left" w:pos="540"/>
          <w:tab w:val="left" w:pos="720"/>
        </w:tabs>
        <w:adjustRightInd w:val="0"/>
        <w:spacing w:line="360" w:lineRule="auto"/>
        <w:ind w:firstLine="480" w:firstLineChars="200"/>
        <w:jc w:val="left"/>
        <w:textAlignment w:val="baseline"/>
        <w:rPr>
          <w:rFonts w:hint="eastAsia" w:ascii="Calibri" w:hAnsi="Calibri" w:eastAsia="宋体" w:cs="宋体"/>
          <w:color w:val="auto"/>
          <w:sz w:val="24"/>
          <w:szCs w:val="21"/>
          <w:highlight w:val="none"/>
          <w:lang w:val="en-US" w:eastAsia="zh-CN"/>
        </w:rPr>
      </w:pPr>
      <w:r>
        <w:rPr>
          <w:rFonts w:hint="eastAsia" w:ascii="Calibri" w:hAnsi="Calibri" w:eastAsia="宋体" w:cs="宋体"/>
          <w:color w:val="auto"/>
          <w:sz w:val="24"/>
          <w:szCs w:val="21"/>
          <w:highlight w:val="none"/>
          <w:lang w:val="en-US" w:eastAsia="zh-CN"/>
        </w:rPr>
        <w:t>4.主要技术指标为小麦拌种剂27%苯醚·咯·噻虫种子处理悬浮剂有效成分及其含量：噻虫嗪22.6%、咯菌腈2.2%、苯醚甲环唑2.2%。</w:t>
      </w:r>
    </w:p>
    <w:p w14:paraId="132D54CE">
      <w:pPr>
        <w:tabs>
          <w:tab w:val="left" w:pos="360"/>
          <w:tab w:val="left" w:pos="540"/>
          <w:tab w:val="left" w:pos="720"/>
        </w:tabs>
        <w:adjustRightInd w:val="0"/>
        <w:spacing w:line="360" w:lineRule="auto"/>
        <w:ind w:firstLine="480" w:firstLineChars="200"/>
        <w:jc w:val="left"/>
        <w:textAlignment w:val="baseline"/>
        <w:rPr>
          <w:rFonts w:hint="eastAsia" w:ascii="Calibri" w:hAnsi="Calibri" w:eastAsia="宋体" w:cs="宋体"/>
          <w:color w:val="auto"/>
          <w:sz w:val="24"/>
          <w:szCs w:val="21"/>
          <w:highlight w:val="none"/>
          <w:lang w:val="en-US" w:eastAsia="zh-CN"/>
        </w:rPr>
      </w:pPr>
      <w:bookmarkStart w:id="4" w:name="_Toc18566"/>
      <w:r>
        <w:rPr>
          <w:rFonts w:hint="eastAsia" w:ascii="Calibri" w:hAnsi="Calibri" w:eastAsia="宋体" w:cs="宋体"/>
          <w:color w:val="auto"/>
          <w:sz w:val="24"/>
          <w:szCs w:val="21"/>
          <w:highlight w:val="none"/>
          <w:lang w:val="en-US" w:eastAsia="zh-CN"/>
        </w:rPr>
        <w:t>三、合同履行期限：合同签订后20日历天。</w:t>
      </w:r>
      <w:bookmarkEnd w:id="4"/>
    </w:p>
    <w:p w14:paraId="5BD0CDA8">
      <w:pPr>
        <w:tabs>
          <w:tab w:val="left" w:pos="360"/>
          <w:tab w:val="left" w:pos="540"/>
          <w:tab w:val="left" w:pos="720"/>
        </w:tabs>
        <w:adjustRightInd w:val="0"/>
        <w:spacing w:line="360" w:lineRule="auto"/>
        <w:ind w:firstLine="480" w:firstLineChars="200"/>
        <w:jc w:val="left"/>
        <w:textAlignment w:val="baseline"/>
        <w:rPr>
          <w:rFonts w:hint="eastAsia" w:ascii="Calibri" w:hAnsi="Calibri" w:eastAsia="宋体" w:cs="宋体"/>
          <w:color w:val="auto"/>
          <w:sz w:val="24"/>
          <w:szCs w:val="21"/>
          <w:highlight w:val="none"/>
          <w:lang w:val="en-US" w:eastAsia="zh-CN"/>
        </w:rPr>
      </w:pPr>
      <w:r>
        <w:rPr>
          <w:rFonts w:hint="eastAsia" w:ascii="Calibri" w:hAnsi="Calibri" w:eastAsia="宋体" w:cs="宋体"/>
          <w:color w:val="auto"/>
          <w:sz w:val="24"/>
          <w:szCs w:val="21"/>
          <w:highlight w:val="none"/>
          <w:lang w:val="en-US" w:eastAsia="zh-CN"/>
        </w:rPr>
        <w:t>四、质量要求：合格</w:t>
      </w:r>
    </w:p>
    <w:p w14:paraId="07768452">
      <w:pPr>
        <w:tabs>
          <w:tab w:val="left" w:pos="360"/>
          <w:tab w:val="left" w:pos="540"/>
          <w:tab w:val="left" w:pos="720"/>
        </w:tabs>
        <w:adjustRightInd w:val="0"/>
        <w:spacing w:line="360" w:lineRule="auto"/>
        <w:ind w:firstLine="480" w:firstLineChars="200"/>
        <w:jc w:val="left"/>
        <w:textAlignment w:val="baseline"/>
        <w:rPr>
          <w:rFonts w:hint="eastAsia" w:ascii="Calibri" w:hAnsi="Calibri" w:eastAsia="宋体" w:cs="宋体"/>
          <w:color w:val="auto"/>
          <w:sz w:val="24"/>
          <w:szCs w:val="21"/>
          <w:highlight w:val="none"/>
          <w:lang w:val="en-US" w:eastAsia="zh-CN"/>
        </w:rPr>
      </w:pPr>
      <w:r>
        <w:rPr>
          <w:rFonts w:hint="eastAsia" w:ascii="Calibri" w:hAnsi="Calibri" w:eastAsia="宋体" w:cs="宋体"/>
          <w:color w:val="auto"/>
          <w:sz w:val="24"/>
          <w:szCs w:val="21"/>
          <w:highlight w:val="none"/>
          <w:lang w:val="en-US" w:eastAsia="zh-CN"/>
        </w:rPr>
        <w:t>五、投标有效期：响应文件递交截止期后60日内。</w:t>
      </w:r>
    </w:p>
    <w:p w14:paraId="79A3FE45">
      <w:pPr>
        <w:tabs>
          <w:tab w:val="left" w:pos="360"/>
          <w:tab w:val="left" w:pos="540"/>
          <w:tab w:val="left" w:pos="720"/>
        </w:tabs>
        <w:adjustRightInd w:val="0"/>
        <w:spacing w:line="360" w:lineRule="auto"/>
        <w:ind w:firstLine="480" w:firstLineChars="200"/>
        <w:jc w:val="left"/>
        <w:textAlignment w:val="baseline"/>
        <w:rPr>
          <w:rFonts w:hint="eastAsia" w:ascii="Calibri" w:hAnsi="Calibri" w:eastAsia="宋体" w:cs="宋体"/>
          <w:color w:val="auto"/>
          <w:sz w:val="24"/>
          <w:szCs w:val="21"/>
          <w:highlight w:val="none"/>
          <w:lang w:val="en-US" w:eastAsia="zh-CN"/>
        </w:rPr>
      </w:pPr>
      <w:bookmarkStart w:id="5" w:name="_Toc10110"/>
      <w:bookmarkStart w:id="6" w:name="_Toc13410"/>
      <w:r>
        <w:rPr>
          <w:rFonts w:hint="eastAsia" w:ascii="Calibri" w:hAnsi="Calibri" w:eastAsia="宋体" w:cs="宋体"/>
          <w:color w:val="auto"/>
          <w:sz w:val="24"/>
          <w:szCs w:val="21"/>
          <w:highlight w:val="none"/>
          <w:lang w:val="en-US" w:eastAsia="zh-CN"/>
        </w:rPr>
        <w:t>六、付款方式</w:t>
      </w:r>
      <w:bookmarkEnd w:id="5"/>
      <w:bookmarkEnd w:id="6"/>
      <w:r>
        <w:rPr>
          <w:rFonts w:hint="eastAsia" w:ascii="Calibri" w:hAnsi="Calibri" w:eastAsia="宋体" w:cs="宋体"/>
          <w:color w:val="auto"/>
          <w:sz w:val="24"/>
          <w:szCs w:val="21"/>
          <w:highlight w:val="none"/>
          <w:lang w:val="en-US" w:eastAsia="zh-CN"/>
        </w:rPr>
        <w:t>：</w:t>
      </w:r>
      <w:bookmarkStart w:id="7" w:name="_Toc30112"/>
      <w:r>
        <w:rPr>
          <w:rFonts w:hint="eastAsia" w:ascii="Calibri" w:hAnsi="Calibri" w:eastAsia="宋体" w:cs="宋体"/>
          <w:color w:val="auto"/>
          <w:sz w:val="24"/>
          <w:szCs w:val="21"/>
          <w:highlight w:val="none"/>
          <w:lang w:val="en-US" w:eastAsia="zh-CN"/>
        </w:rPr>
        <w:t>项目完成后，经验收部门验收合格后一次性付清。</w:t>
      </w:r>
    </w:p>
    <w:p w14:paraId="2F77D656">
      <w:pPr>
        <w:tabs>
          <w:tab w:val="left" w:pos="360"/>
          <w:tab w:val="left" w:pos="540"/>
          <w:tab w:val="left" w:pos="720"/>
        </w:tabs>
        <w:adjustRightInd w:val="0"/>
        <w:spacing w:line="360" w:lineRule="auto"/>
        <w:ind w:firstLine="480" w:firstLineChars="200"/>
        <w:jc w:val="left"/>
        <w:textAlignment w:val="baseline"/>
        <w:rPr>
          <w:rFonts w:hint="eastAsia" w:ascii="Calibri" w:hAnsi="Calibri" w:eastAsia="宋体" w:cs="宋体"/>
          <w:color w:val="auto"/>
          <w:sz w:val="24"/>
          <w:szCs w:val="21"/>
          <w:highlight w:val="none"/>
          <w:lang w:val="en-US" w:eastAsia="zh-CN"/>
        </w:rPr>
      </w:pPr>
      <w:r>
        <w:rPr>
          <w:rFonts w:hint="eastAsia" w:ascii="Calibri" w:hAnsi="Calibri" w:eastAsia="宋体" w:cs="宋体"/>
          <w:color w:val="auto"/>
          <w:sz w:val="24"/>
          <w:szCs w:val="21"/>
          <w:highlight w:val="none"/>
          <w:lang w:val="en-US" w:eastAsia="zh-CN"/>
        </w:rPr>
        <w:t>七、售后服务：</w:t>
      </w:r>
      <w:bookmarkEnd w:id="7"/>
    </w:p>
    <w:p w14:paraId="3997BED9">
      <w:pPr>
        <w:tabs>
          <w:tab w:val="left" w:pos="360"/>
          <w:tab w:val="left" w:pos="540"/>
          <w:tab w:val="left" w:pos="720"/>
        </w:tabs>
        <w:adjustRightInd w:val="0"/>
        <w:spacing w:line="360" w:lineRule="auto"/>
        <w:ind w:firstLine="480" w:firstLineChars="200"/>
        <w:jc w:val="left"/>
        <w:textAlignment w:val="baseline"/>
        <w:rPr>
          <w:rFonts w:hint="eastAsia" w:ascii="Calibri" w:hAnsi="Calibri" w:eastAsia="宋体" w:cs="宋体"/>
          <w:color w:val="auto"/>
          <w:sz w:val="24"/>
          <w:szCs w:val="21"/>
          <w:highlight w:val="none"/>
          <w:lang w:val="en-US" w:eastAsia="zh-CN"/>
        </w:rPr>
      </w:pPr>
      <w:r>
        <w:rPr>
          <w:rFonts w:hint="eastAsia" w:ascii="Calibri" w:hAnsi="Calibri" w:eastAsia="宋体" w:cs="宋体"/>
          <w:color w:val="auto"/>
          <w:sz w:val="24"/>
          <w:szCs w:val="21"/>
          <w:highlight w:val="none"/>
          <w:lang w:val="en-US" w:eastAsia="zh-CN"/>
        </w:rPr>
        <w:t>设立售后服务热线电话，有专人24小时为用户提供技术援助，解答用户在使用中遇到的问题，及时为用户提出解决问题的建议。如需现场服务可在4小时内到达现场提供技术支持服务。</w:t>
      </w:r>
    </w:p>
    <w:p w14:paraId="025487A5">
      <w:pPr>
        <w:rPr>
          <w:b/>
          <w:bCs/>
          <w:sz w:val="24"/>
          <w:highlight w:val="none"/>
        </w:rPr>
      </w:pPr>
    </w:p>
    <w:p w14:paraId="4ABE5742">
      <w:pPr>
        <w:rPr>
          <w:rFonts w:hint="eastAsia"/>
          <w:color w:val="auto"/>
          <w:highlight w:val="none"/>
          <w:lang w:val="en-US" w:eastAsia="zh-CN"/>
        </w:rPr>
      </w:pPr>
      <w:r>
        <w:rPr>
          <w:rFonts w:hint="eastAsia"/>
          <w:color w:val="auto"/>
          <w:highlight w:val="none"/>
          <w:lang w:val="en-US" w:eastAsia="zh-CN"/>
        </w:rPr>
        <w:br w:type="page"/>
      </w:r>
    </w:p>
    <w:p w14:paraId="7B62DE95">
      <w:pPr>
        <w:pStyle w:val="9"/>
        <w:rPr>
          <w:rFonts w:hint="eastAsia"/>
          <w:highlight w:val="none"/>
          <w:lang w:val="en-US" w:eastAsia="zh-CN"/>
        </w:rPr>
      </w:pPr>
    </w:p>
    <w:p w14:paraId="5F929D98">
      <w:pPr>
        <w:pStyle w:val="24"/>
        <w:keepNext w:val="0"/>
        <w:keepLines w:val="0"/>
        <w:pageBreakBefore w:val="0"/>
        <w:kinsoku/>
        <w:wordWrap/>
        <w:overflowPunct/>
        <w:topLinePunct w:val="0"/>
        <w:autoSpaceDE/>
        <w:autoSpaceDN/>
        <w:bidi w:val="0"/>
        <w:adjustRightInd/>
        <w:snapToGrid/>
        <w:spacing w:beforeAutospacing="0" w:afterAutospacing="0" w:line="480" w:lineRule="auto"/>
        <w:jc w:val="center"/>
        <w:textAlignment w:val="auto"/>
        <w:rPr>
          <w:rFonts w:hint="eastAsia"/>
          <w:color w:val="auto"/>
          <w:highlight w:val="none"/>
        </w:rPr>
      </w:pPr>
      <w:r>
        <w:rPr>
          <w:rFonts w:hint="eastAsia"/>
          <w:b/>
          <w:color w:val="auto"/>
          <w:sz w:val="32"/>
          <w:szCs w:val="32"/>
          <w:highlight w:val="none"/>
          <w:lang w:val="en-US" w:eastAsia="zh-CN"/>
        </w:rPr>
        <w:t>合</w:t>
      </w:r>
      <w:r>
        <w:rPr>
          <w:rFonts w:hint="eastAsia"/>
          <w:b/>
          <w:bCs/>
          <w:color w:val="auto"/>
          <w:sz w:val="32"/>
          <w:szCs w:val="32"/>
          <w:highlight w:val="none"/>
        </w:rPr>
        <w:t>同条款及格式</w:t>
      </w:r>
      <w:r>
        <w:rPr>
          <w:rFonts w:hint="eastAsia" w:ascii="宋体" w:hAnsi="宋体" w:eastAsia="宋体" w:cs="宋体"/>
          <w:b/>
          <w:bCs/>
          <w:color w:val="auto"/>
          <w:kern w:val="0"/>
          <w:sz w:val="31"/>
          <w:szCs w:val="31"/>
          <w:highlight w:val="none"/>
          <w:lang w:val="en-US" w:eastAsia="zh-CN" w:bidi="ar"/>
        </w:rPr>
        <w:t>（仅供参考）</w:t>
      </w:r>
    </w:p>
    <w:p w14:paraId="46603CBE">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甲方（需方）：_________</w:t>
      </w:r>
    </w:p>
    <w:p w14:paraId="19560B84">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乙方（供方）：_________</w:t>
      </w:r>
    </w:p>
    <w:p w14:paraId="6794B56A">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经过双方友好协商，依据《中华人民共和国合同法》，双方同意签订以下合同条款，以便双方共同遵守、履行合同。</w:t>
      </w:r>
    </w:p>
    <w:p w14:paraId="39515907">
      <w:pPr>
        <w:keepNext w:val="0"/>
        <w:keepLines w:val="0"/>
        <w:pageBreakBefore w:val="0"/>
        <w:widowControl w:val="0"/>
        <w:kinsoku/>
        <w:wordWrap w:val="0"/>
        <w:overflowPunct/>
        <w:topLinePunct/>
        <w:autoSpaceDE/>
        <w:autoSpaceDN/>
        <w:bidi w:val="0"/>
        <w:spacing w:line="360" w:lineRule="auto"/>
        <w:ind w:firstLine="562"/>
        <w:rPr>
          <w:rFonts w:ascii="宋体" w:hAnsi="宋体" w:cs="宋体"/>
          <w:b/>
          <w:sz w:val="24"/>
          <w:highlight w:val="none"/>
        </w:rPr>
      </w:pPr>
      <w:r>
        <w:rPr>
          <w:rFonts w:hint="eastAsia" w:ascii="宋体" w:hAnsi="宋体" w:cs="宋体"/>
          <w:b/>
          <w:sz w:val="24"/>
          <w:highlight w:val="none"/>
        </w:rPr>
        <w:t>一、产品清单及付款方式</w:t>
      </w:r>
    </w:p>
    <w:p w14:paraId="6BDE9B89">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 xml:space="preserve">1．产品清单及价格 </w:t>
      </w:r>
    </w:p>
    <w:tbl>
      <w:tblPr>
        <w:tblStyle w:val="2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101"/>
        <w:gridCol w:w="2291"/>
        <w:gridCol w:w="980"/>
        <w:gridCol w:w="980"/>
        <w:gridCol w:w="980"/>
        <w:gridCol w:w="982"/>
      </w:tblGrid>
      <w:tr w14:paraId="0780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46" w:type="dxa"/>
            <w:tcBorders>
              <w:top w:val="single" w:color="auto" w:sz="4" w:space="0"/>
              <w:left w:val="single" w:color="auto" w:sz="4" w:space="0"/>
              <w:bottom w:val="single" w:color="auto" w:sz="4" w:space="0"/>
              <w:right w:val="single" w:color="auto" w:sz="4" w:space="0"/>
            </w:tcBorders>
            <w:vAlign w:val="center"/>
          </w:tcPr>
          <w:p w14:paraId="4256AC92">
            <w:pPr>
              <w:keepNext w:val="0"/>
              <w:keepLines w:val="0"/>
              <w:pageBreakBefore w:val="0"/>
              <w:widowControl w:val="0"/>
              <w:kinsoku/>
              <w:wordWrap w:val="0"/>
              <w:overflowPunct/>
              <w:topLinePunct/>
              <w:autoSpaceDE/>
              <w:autoSpaceDN/>
              <w:bidi w:val="0"/>
              <w:spacing w:line="360" w:lineRule="auto"/>
              <w:jc w:val="center"/>
              <w:rPr>
                <w:rFonts w:ascii="宋体" w:hAnsi="宋体" w:cs="宋体"/>
                <w:sz w:val="24"/>
                <w:highlight w:val="none"/>
              </w:rPr>
            </w:pPr>
            <w:r>
              <w:rPr>
                <w:rFonts w:hint="eastAsia" w:ascii="宋体" w:hAnsi="宋体" w:cs="宋体"/>
                <w:sz w:val="24"/>
                <w:highlight w:val="none"/>
              </w:rPr>
              <w:t>序号</w:t>
            </w:r>
          </w:p>
        </w:tc>
        <w:tc>
          <w:tcPr>
            <w:tcW w:w="2101" w:type="dxa"/>
            <w:tcBorders>
              <w:top w:val="single" w:color="auto" w:sz="4" w:space="0"/>
              <w:left w:val="single" w:color="auto" w:sz="4" w:space="0"/>
              <w:bottom w:val="single" w:color="auto" w:sz="4" w:space="0"/>
              <w:right w:val="single" w:color="auto" w:sz="4" w:space="0"/>
            </w:tcBorders>
            <w:vAlign w:val="center"/>
          </w:tcPr>
          <w:p w14:paraId="29423E25">
            <w:pPr>
              <w:keepNext w:val="0"/>
              <w:keepLines w:val="0"/>
              <w:pageBreakBefore w:val="0"/>
              <w:widowControl w:val="0"/>
              <w:kinsoku/>
              <w:wordWrap w:val="0"/>
              <w:overflowPunct/>
              <w:topLinePunct/>
              <w:autoSpaceDE/>
              <w:autoSpaceDN/>
              <w:bidi w:val="0"/>
              <w:spacing w:line="360" w:lineRule="auto"/>
              <w:jc w:val="center"/>
              <w:rPr>
                <w:rFonts w:ascii="宋体" w:hAnsi="宋体" w:cs="宋体"/>
                <w:sz w:val="24"/>
                <w:highlight w:val="none"/>
              </w:rPr>
            </w:pPr>
            <w:r>
              <w:rPr>
                <w:rFonts w:hint="eastAsia" w:ascii="宋体" w:hAnsi="宋体" w:cs="宋体"/>
                <w:sz w:val="24"/>
                <w:highlight w:val="none"/>
              </w:rPr>
              <w:t>名称</w:t>
            </w:r>
          </w:p>
        </w:tc>
        <w:tc>
          <w:tcPr>
            <w:tcW w:w="2291" w:type="dxa"/>
            <w:tcBorders>
              <w:top w:val="single" w:color="auto" w:sz="4" w:space="0"/>
              <w:left w:val="single" w:color="auto" w:sz="4" w:space="0"/>
              <w:bottom w:val="single" w:color="auto" w:sz="4" w:space="0"/>
              <w:right w:val="single" w:color="auto" w:sz="4" w:space="0"/>
            </w:tcBorders>
            <w:vAlign w:val="center"/>
          </w:tcPr>
          <w:p w14:paraId="36E339ED">
            <w:pPr>
              <w:keepNext w:val="0"/>
              <w:keepLines w:val="0"/>
              <w:pageBreakBefore w:val="0"/>
              <w:widowControl w:val="0"/>
              <w:kinsoku/>
              <w:wordWrap w:val="0"/>
              <w:overflowPunct/>
              <w:topLinePunct/>
              <w:autoSpaceDE/>
              <w:autoSpaceDN/>
              <w:bidi w:val="0"/>
              <w:spacing w:line="360" w:lineRule="auto"/>
              <w:jc w:val="center"/>
              <w:rPr>
                <w:rFonts w:ascii="宋体" w:hAnsi="宋体" w:cs="宋体"/>
                <w:sz w:val="24"/>
                <w:highlight w:val="none"/>
              </w:rPr>
            </w:pPr>
            <w:r>
              <w:rPr>
                <w:rFonts w:hint="eastAsia" w:ascii="宋体" w:hAnsi="宋体" w:cs="宋体"/>
                <w:sz w:val="24"/>
                <w:highlight w:val="none"/>
              </w:rPr>
              <w:t>品牌、型号</w:t>
            </w:r>
          </w:p>
        </w:tc>
        <w:tc>
          <w:tcPr>
            <w:tcW w:w="980" w:type="dxa"/>
            <w:tcBorders>
              <w:top w:val="single" w:color="auto" w:sz="4" w:space="0"/>
              <w:left w:val="single" w:color="auto" w:sz="4" w:space="0"/>
              <w:bottom w:val="single" w:color="auto" w:sz="4" w:space="0"/>
              <w:right w:val="single" w:color="auto" w:sz="4" w:space="0"/>
            </w:tcBorders>
            <w:vAlign w:val="center"/>
          </w:tcPr>
          <w:p w14:paraId="0C4B25C1">
            <w:pPr>
              <w:keepNext w:val="0"/>
              <w:keepLines w:val="0"/>
              <w:pageBreakBefore w:val="0"/>
              <w:widowControl w:val="0"/>
              <w:kinsoku/>
              <w:wordWrap w:val="0"/>
              <w:overflowPunct/>
              <w:topLinePunct/>
              <w:autoSpaceDE/>
              <w:autoSpaceDN/>
              <w:bidi w:val="0"/>
              <w:spacing w:line="360" w:lineRule="auto"/>
              <w:jc w:val="center"/>
              <w:rPr>
                <w:rFonts w:ascii="宋体" w:hAnsi="宋体" w:cs="宋体"/>
                <w:sz w:val="24"/>
                <w:highlight w:val="none"/>
              </w:rPr>
            </w:pPr>
            <w:r>
              <w:rPr>
                <w:rFonts w:hint="eastAsia" w:ascii="宋体" w:hAnsi="宋体" w:cs="宋体"/>
                <w:sz w:val="24"/>
                <w:highlight w:val="none"/>
              </w:rPr>
              <w:t>数量</w:t>
            </w:r>
          </w:p>
        </w:tc>
        <w:tc>
          <w:tcPr>
            <w:tcW w:w="980" w:type="dxa"/>
            <w:tcBorders>
              <w:top w:val="single" w:color="auto" w:sz="4" w:space="0"/>
              <w:left w:val="single" w:color="auto" w:sz="4" w:space="0"/>
              <w:bottom w:val="single" w:color="auto" w:sz="4" w:space="0"/>
              <w:right w:val="single" w:color="auto" w:sz="4" w:space="0"/>
            </w:tcBorders>
            <w:vAlign w:val="center"/>
          </w:tcPr>
          <w:p w14:paraId="78B72F93">
            <w:pPr>
              <w:keepNext w:val="0"/>
              <w:keepLines w:val="0"/>
              <w:pageBreakBefore w:val="0"/>
              <w:widowControl w:val="0"/>
              <w:kinsoku/>
              <w:wordWrap w:val="0"/>
              <w:overflowPunct/>
              <w:topLinePunct/>
              <w:autoSpaceDE/>
              <w:autoSpaceDN/>
              <w:bidi w:val="0"/>
              <w:spacing w:line="360" w:lineRule="auto"/>
              <w:jc w:val="center"/>
              <w:rPr>
                <w:rFonts w:ascii="宋体" w:hAnsi="宋体" w:cs="宋体"/>
                <w:sz w:val="24"/>
                <w:highlight w:val="none"/>
              </w:rPr>
            </w:pPr>
            <w:r>
              <w:rPr>
                <w:rFonts w:hint="eastAsia" w:ascii="宋体" w:hAnsi="宋体" w:cs="宋体"/>
                <w:sz w:val="24"/>
                <w:highlight w:val="none"/>
              </w:rPr>
              <w:t>单价</w:t>
            </w:r>
          </w:p>
        </w:tc>
        <w:tc>
          <w:tcPr>
            <w:tcW w:w="980" w:type="dxa"/>
            <w:tcBorders>
              <w:top w:val="single" w:color="auto" w:sz="4" w:space="0"/>
              <w:left w:val="single" w:color="auto" w:sz="4" w:space="0"/>
              <w:bottom w:val="single" w:color="auto" w:sz="4" w:space="0"/>
              <w:right w:val="single" w:color="auto" w:sz="4" w:space="0"/>
            </w:tcBorders>
            <w:vAlign w:val="center"/>
          </w:tcPr>
          <w:p w14:paraId="4A9936FC">
            <w:pPr>
              <w:keepNext w:val="0"/>
              <w:keepLines w:val="0"/>
              <w:pageBreakBefore w:val="0"/>
              <w:widowControl w:val="0"/>
              <w:kinsoku/>
              <w:wordWrap w:val="0"/>
              <w:overflowPunct/>
              <w:topLinePunct/>
              <w:autoSpaceDE/>
              <w:autoSpaceDN/>
              <w:bidi w:val="0"/>
              <w:spacing w:line="360" w:lineRule="auto"/>
              <w:jc w:val="center"/>
              <w:rPr>
                <w:rFonts w:ascii="宋体" w:hAnsi="宋体" w:cs="宋体"/>
                <w:sz w:val="24"/>
                <w:highlight w:val="none"/>
              </w:rPr>
            </w:pPr>
            <w:r>
              <w:rPr>
                <w:rFonts w:hint="eastAsia" w:ascii="宋体" w:hAnsi="宋体" w:cs="宋体"/>
                <w:sz w:val="24"/>
                <w:highlight w:val="none"/>
              </w:rPr>
              <w:t>总价</w:t>
            </w:r>
          </w:p>
        </w:tc>
        <w:tc>
          <w:tcPr>
            <w:tcW w:w="982" w:type="dxa"/>
            <w:tcBorders>
              <w:top w:val="single" w:color="auto" w:sz="4" w:space="0"/>
              <w:left w:val="single" w:color="auto" w:sz="4" w:space="0"/>
              <w:bottom w:val="single" w:color="auto" w:sz="4" w:space="0"/>
              <w:right w:val="single" w:color="auto" w:sz="4" w:space="0"/>
            </w:tcBorders>
            <w:vAlign w:val="center"/>
          </w:tcPr>
          <w:p w14:paraId="12BA941B">
            <w:pPr>
              <w:keepNext w:val="0"/>
              <w:keepLines w:val="0"/>
              <w:pageBreakBefore w:val="0"/>
              <w:widowControl w:val="0"/>
              <w:kinsoku/>
              <w:wordWrap w:val="0"/>
              <w:overflowPunct/>
              <w:topLinePunct/>
              <w:autoSpaceDE/>
              <w:autoSpaceDN/>
              <w:bidi w:val="0"/>
              <w:spacing w:line="360" w:lineRule="auto"/>
              <w:ind w:firstLine="240" w:firstLineChars="100"/>
              <w:rPr>
                <w:rFonts w:ascii="宋体" w:hAnsi="宋体" w:cs="宋体"/>
                <w:sz w:val="24"/>
                <w:highlight w:val="none"/>
              </w:rPr>
            </w:pPr>
            <w:r>
              <w:rPr>
                <w:rFonts w:hint="eastAsia" w:ascii="宋体" w:hAnsi="宋体" w:cs="宋体"/>
                <w:sz w:val="24"/>
                <w:highlight w:val="none"/>
              </w:rPr>
              <w:t>备注</w:t>
            </w:r>
          </w:p>
        </w:tc>
      </w:tr>
      <w:tr w14:paraId="72D9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46" w:type="dxa"/>
            <w:tcBorders>
              <w:top w:val="single" w:color="auto" w:sz="4" w:space="0"/>
              <w:left w:val="single" w:color="auto" w:sz="4" w:space="0"/>
              <w:bottom w:val="single" w:color="auto" w:sz="4" w:space="0"/>
              <w:right w:val="single" w:color="auto" w:sz="4" w:space="0"/>
            </w:tcBorders>
            <w:vAlign w:val="center"/>
          </w:tcPr>
          <w:p w14:paraId="000CD7CA">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51B76993">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2291" w:type="dxa"/>
            <w:tcBorders>
              <w:top w:val="single" w:color="auto" w:sz="4" w:space="0"/>
              <w:left w:val="single" w:color="auto" w:sz="4" w:space="0"/>
              <w:bottom w:val="single" w:color="auto" w:sz="4" w:space="0"/>
              <w:right w:val="single" w:color="auto" w:sz="4" w:space="0"/>
            </w:tcBorders>
            <w:vAlign w:val="center"/>
          </w:tcPr>
          <w:p w14:paraId="1F98EDBB">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6D84D33A">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41B61D83">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07B67BCC">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14:paraId="400A81D4">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r>
      <w:tr w14:paraId="03D9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6" w:type="dxa"/>
            <w:tcBorders>
              <w:top w:val="single" w:color="auto" w:sz="4" w:space="0"/>
              <w:left w:val="single" w:color="auto" w:sz="4" w:space="0"/>
              <w:bottom w:val="single" w:color="auto" w:sz="4" w:space="0"/>
              <w:right w:val="single" w:color="auto" w:sz="4" w:space="0"/>
            </w:tcBorders>
            <w:vAlign w:val="center"/>
          </w:tcPr>
          <w:p w14:paraId="7A71CB44">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52BF27B8">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2291" w:type="dxa"/>
            <w:tcBorders>
              <w:top w:val="single" w:color="auto" w:sz="4" w:space="0"/>
              <w:left w:val="single" w:color="auto" w:sz="4" w:space="0"/>
              <w:bottom w:val="single" w:color="auto" w:sz="4" w:space="0"/>
              <w:right w:val="single" w:color="auto" w:sz="4" w:space="0"/>
            </w:tcBorders>
            <w:vAlign w:val="center"/>
          </w:tcPr>
          <w:p w14:paraId="287E4673">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55F3B514">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003D0574">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68CEEFF7">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14:paraId="483AEE0B">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r>
      <w:tr w14:paraId="7DCE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6" w:type="dxa"/>
            <w:tcBorders>
              <w:top w:val="single" w:color="auto" w:sz="4" w:space="0"/>
              <w:left w:val="single" w:color="auto" w:sz="4" w:space="0"/>
              <w:bottom w:val="single" w:color="auto" w:sz="4" w:space="0"/>
              <w:right w:val="single" w:color="auto" w:sz="4" w:space="0"/>
            </w:tcBorders>
            <w:vAlign w:val="center"/>
          </w:tcPr>
          <w:p w14:paraId="2A56B4DE">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4100391C">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2291" w:type="dxa"/>
            <w:tcBorders>
              <w:top w:val="single" w:color="auto" w:sz="4" w:space="0"/>
              <w:left w:val="single" w:color="auto" w:sz="4" w:space="0"/>
              <w:bottom w:val="single" w:color="auto" w:sz="4" w:space="0"/>
              <w:right w:val="single" w:color="auto" w:sz="4" w:space="0"/>
            </w:tcBorders>
            <w:vAlign w:val="center"/>
          </w:tcPr>
          <w:p w14:paraId="29D0163E">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738CE695">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13346E2F">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3C76376B">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14:paraId="21EA1826">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r>
      <w:tr w14:paraId="5682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6" w:type="dxa"/>
            <w:tcBorders>
              <w:top w:val="single" w:color="auto" w:sz="4" w:space="0"/>
              <w:left w:val="single" w:color="auto" w:sz="4" w:space="0"/>
              <w:bottom w:val="single" w:color="auto" w:sz="4" w:space="0"/>
              <w:right w:val="single" w:color="auto" w:sz="4" w:space="0"/>
            </w:tcBorders>
            <w:vAlign w:val="center"/>
          </w:tcPr>
          <w:p w14:paraId="238F8B22">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1C808835">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2291" w:type="dxa"/>
            <w:tcBorders>
              <w:top w:val="single" w:color="auto" w:sz="4" w:space="0"/>
              <w:left w:val="single" w:color="auto" w:sz="4" w:space="0"/>
              <w:bottom w:val="single" w:color="auto" w:sz="4" w:space="0"/>
              <w:right w:val="single" w:color="auto" w:sz="4" w:space="0"/>
            </w:tcBorders>
            <w:vAlign w:val="center"/>
          </w:tcPr>
          <w:p w14:paraId="6454735E">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479E1F27">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49BB4D2B">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703C7551">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14:paraId="49D0B305">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r>
      <w:tr w14:paraId="75B2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6" w:type="dxa"/>
            <w:tcBorders>
              <w:top w:val="single" w:color="auto" w:sz="4" w:space="0"/>
              <w:left w:val="single" w:color="auto" w:sz="4" w:space="0"/>
              <w:bottom w:val="single" w:color="auto" w:sz="4" w:space="0"/>
              <w:right w:val="single" w:color="auto" w:sz="4" w:space="0"/>
            </w:tcBorders>
            <w:vAlign w:val="center"/>
          </w:tcPr>
          <w:p w14:paraId="5700000A">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143F0C30">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2291" w:type="dxa"/>
            <w:tcBorders>
              <w:top w:val="single" w:color="auto" w:sz="4" w:space="0"/>
              <w:left w:val="single" w:color="auto" w:sz="4" w:space="0"/>
              <w:bottom w:val="single" w:color="auto" w:sz="4" w:space="0"/>
              <w:right w:val="single" w:color="auto" w:sz="4" w:space="0"/>
            </w:tcBorders>
            <w:vAlign w:val="center"/>
          </w:tcPr>
          <w:p w14:paraId="459ADCAF">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59AE453C">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72452A62">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4E985CCB">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14:paraId="047E9E7F">
            <w:pPr>
              <w:keepNext w:val="0"/>
              <w:keepLines w:val="0"/>
              <w:pageBreakBefore w:val="0"/>
              <w:widowControl w:val="0"/>
              <w:kinsoku/>
              <w:wordWrap w:val="0"/>
              <w:overflowPunct/>
              <w:topLinePunct/>
              <w:autoSpaceDE/>
              <w:autoSpaceDN/>
              <w:bidi w:val="0"/>
              <w:spacing w:line="360" w:lineRule="auto"/>
              <w:ind w:firstLine="420"/>
              <w:jc w:val="center"/>
              <w:rPr>
                <w:rFonts w:ascii="宋体" w:hAnsi="宋体" w:cs="宋体"/>
                <w:sz w:val="24"/>
                <w:highlight w:val="none"/>
              </w:rPr>
            </w:pPr>
          </w:p>
        </w:tc>
      </w:tr>
      <w:tr w14:paraId="70E7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60" w:type="dxa"/>
            <w:gridSpan w:val="7"/>
            <w:tcBorders>
              <w:top w:val="single" w:color="auto" w:sz="4" w:space="0"/>
              <w:left w:val="single" w:color="auto" w:sz="4" w:space="0"/>
              <w:bottom w:val="single" w:color="auto" w:sz="4" w:space="0"/>
              <w:right w:val="single" w:color="auto" w:sz="4" w:space="0"/>
            </w:tcBorders>
            <w:vAlign w:val="center"/>
          </w:tcPr>
          <w:p w14:paraId="76ECE76C">
            <w:pPr>
              <w:keepNext w:val="0"/>
              <w:keepLines w:val="0"/>
              <w:pageBreakBefore w:val="0"/>
              <w:widowControl w:val="0"/>
              <w:kinsoku/>
              <w:wordWrap w:val="0"/>
              <w:overflowPunct/>
              <w:topLinePunct/>
              <w:autoSpaceDE/>
              <w:autoSpaceDN/>
              <w:bidi w:val="0"/>
              <w:spacing w:line="360" w:lineRule="auto"/>
              <w:ind w:firstLine="420"/>
              <w:rPr>
                <w:rFonts w:ascii="宋体" w:hAnsi="宋体" w:cs="宋体"/>
                <w:sz w:val="24"/>
                <w:highlight w:val="none"/>
              </w:rPr>
            </w:pPr>
            <w:r>
              <w:rPr>
                <w:rFonts w:hint="eastAsia" w:ascii="宋体" w:hAnsi="宋体" w:cs="宋体"/>
                <w:sz w:val="24"/>
                <w:highlight w:val="none"/>
              </w:rPr>
              <w:t>中标总价（小写）：</w:t>
            </w:r>
          </w:p>
        </w:tc>
      </w:tr>
      <w:tr w14:paraId="0D3B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060" w:type="dxa"/>
            <w:gridSpan w:val="7"/>
            <w:tcBorders>
              <w:top w:val="single" w:color="auto" w:sz="4" w:space="0"/>
              <w:left w:val="single" w:color="auto" w:sz="4" w:space="0"/>
              <w:bottom w:val="single" w:color="auto" w:sz="4" w:space="0"/>
              <w:right w:val="single" w:color="auto" w:sz="4" w:space="0"/>
            </w:tcBorders>
            <w:vAlign w:val="center"/>
          </w:tcPr>
          <w:p w14:paraId="48E81FC8">
            <w:pPr>
              <w:keepNext w:val="0"/>
              <w:keepLines w:val="0"/>
              <w:pageBreakBefore w:val="0"/>
              <w:widowControl w:val="0"/>
              <w:kinsoku/>
              <w:wordWrap w:val="0"/>
              <w:overflowPunct/>
              <w:topLinePunct/>
              <w:autoSpaceDE/>
              <w:autoSpaceDN/>
              <w:bidi w:val="0"/>
              <w:spacing w:line="360" w:lineRule="auto"/>
              <w:ind w:firstLine="420"/>
              <w:rPr>
                <w:rFonts w:ascii="宋体" w:hAnsi="宋体" w:cs="宋体"/>
                <w:sz w:val="24"/>
                <w:highlight w:val="none"/>
              </w:rPr>
            </w:pPr>
            <w:r>
              <w:rPr>
                <w:rFonts w:hint="eastAsia" w:ascii="宋体" w:hAnsi="宋体" w:cs="宋体"/>
                <w:sz w:val="24"/>
                <w:highlight w:val="none"/>
              </w:rPr>
              <w:t>中标总价（大写）：</w:t>
            </w:r>
          </w:p>
        </w:tc>
      </w:tr>
    </w:tbl>
    <w:p w14:paraId="5004D96C">
      <w:pPr>
        <w:keepNext w:val="0"/>
        <w:keepLines w:val="0"/>
        <w:pageBreakBefore w:val="0"/>
        <w:widowControl w:val="0"/>
        <w:kinsoku/>
        <w:wordWrap w:val="0"/>
        <w:overflowPunct/>
        <w:topLinePunct/>
        <w:autoSpaceDE/>
        <w:autoSpaceDN/>
        <w:bidi w:val="0"/>
        <w:spacing w:line="360" w:lineRule="auto"/>
        <w:ind w:firstLine="560"/>
        <w:rPr>
          <w:rFonts w:ascii="宋体" w:hAnsi="宋体" w:cs="宋体"/>
          <w:color w:val="FF0000"/>
          <w:sz w:val="24"/>
          <w:highlight w:val="none"/>
        </w:rPr>
      </w:pPr>
      <w:r>
        <w:rPr>
          <w:rFonts w:hint="eastAsia" w:ascii="宋体" w:hAnsi="宋体" w:cs="宋体"/>
          <w:sz w:val="24"/>
          <w:highlight w:val="none"/>
        </w:rPr>
        <w:t>2．付款方式及时间：</w:t>
      </w:r>
      <w:r>
        <w:rPr>
          <w:rFonts w:hint="eastAsia" w:ascii="Calibri" w:hAnsi="Calibri" w:eastAsia="宋体" w:cs="宋体"/>
          <w:color w:val="auto"/>
          <w:sz w:val="24"/>
          <w:szCs w:val="21"/>
          <w:highlight w:val="none"/>
          <w:lang w:val="en-US" w:eastAsia="zh-CN"/>
        </w:rPr>
        <w:t>项目完成后，经验收部门验收合格后一次性付清。</w:t>
      </w:r>
    </w:p>
    <w:p w14:paraId="7E5C76B2">
      <w:pPr>
        <w:keepNext w:val="0"/>
        <w:keepLines w:val="0"/>
        <w:pageBreakBefore w:val="0"/>
        <w:widowControl w:val="0"/>
        <w:kinsoku/>
        <w:wordWrap w:val="0"/>
        <w:overflowPunct/>
        <w:topLinePunct/>
        <w:autoSpaceDE/>
        <w:autoSpaceDN/>
        <w:bidi w:val="0"/>
        <w:spacing w:line="360" w:lineRule="auto"/>
        <w:ind w:firstLine="562"/>
        <w:rPr>
          <w:rFonts w:ascii="宋体" w:hAnsi="宋体" w:cs="宋体"/>
          <w:b/>
          <w:sz w:val="24"/>
          <w:highlight w:val="none"/>
        </w:rPr>
      </w:pPr>
      <w:r>
        <w:rPr>
          <w:rFonts w:hint="eastAsia" w:ascii="宋体" w:hAnsi="宋体" w:cs="宋体"/>
          <w:b/>
          <w:sz w:val="24"/>
          <w:highlight w:val="none"/>
        </w:rPr>
        <w:t>二、交货时间及地点</w:t>
      </w:r>
    </w:p>
    <w:p w14:paraId="3C68C67D">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 xml:space="preserve">1．交货时间：_________（投标文件承诺时间）。  </w:t>
      </w:r>
    </w:p>
    <w:p w14:paraId="068E5F72">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2．交货地点：________。</w:t>
      </w:r>
    </w:p>
    <w:p w14:paraId="7A503267">
      <w:pPr>
        <w:keepNext w:val="0"/>
        <w:keepLines w:val="0"/>
        <w:pageBreakBefore w:val="0"/>
        <w:widowControl w:val="0"/>
        <w:kinsoku/>
        <w:wordWrap w:val="0"/>
        <w:overflowPunct/>
        <w:topLinePunct/>
        <w:autoSpaceDE/>
        <w:autoSpaceDN/>
        <w:bidi w:val="0"/>
        <w:spacing w:line="360" w:lineRule="auto"/>
        <w:ind w:firstLine="562"/>
        <w:rPr>
          <w:rFonts w:ascii="宋体" w:hAnsi="宋体" w:cs="宋体"/>
          <w:b/>
          <w:sz w:val="24"/>
          <w:highlight w:val="none"/>
        </w:rPr>
      </w:pPr>
      <w:r>
        <w:rPr>
          <w:rFonts w:hint="eastAsia" w:ascii="宋体" w:hAnsi="宋体" w:cs="宋体"/>
          <w:b/>
          <w:sz w:val="24"/>
          <w:highlight w:val="none"/>
        </w:rPr>
        <w:t>三、权利义务和质量保证</w:t>
      </w:r>
    </w:p>
    <w:p w14:paraId="1C974502">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1．甲方应当在到货后的</w:t>
      </w:r>
      <w:r>
        <w:rPr>
          <w:rFonts w:hint="eastAsia" w:ascii="宋体" w:hAnsi="宋体" w:cs="宋体"/>
          <w:sz w:val="24"/>
          <w:highlight w:val="none"/>
          <w:u w:val="single"/>
        </w:rPr>
        <w:t xml:space="preserve">     </w:t>
      </w:r>
      <w:r>
        <w:rPr>
          <w:rFonts w:hint="eastAsia" w:ascii="宋体" w:hAnsi="宋体" w:cs="宋体"/>
          <w:sz w:val="24"/>
          <w:highlight w:val="none"/>
        </w:rPr>
        <w:t>个工作日内对货物进行验收。货物验收时，甲乙双方必须同时在场，双方共同确认货物与本合同规定的生产厂家、品牌型号、数量、质量、技术参数和性能等是否一致。乙方所交付的货物不符合合同约定的，甲方有权拒收。乙方应及时按本合同约定和甲方要求免费对拒收货物采取更换或其他必要的补救措施，直至验收合格，方视为乙方按本合同约定完成交货。验收合格的，由双方共同签署《验收报告》；</w:t>
      </w:r>
    </w:p>
    <w:p w14:paraId="1D4EA1FD">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2．甲方有权监督乙方对所交付设备进行安装调试，并督导完成；</w:t>
      </w:r>
    </w:p>
    <w:p w14:paraId="34679420">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3．甲方有权监督乙方的售后服务，并对乙方的售后服务不符合合同要求时加以指出乃至追究合同责任；</w:t>
      </w:r>
    </w:p>
    <w:p w14:paraId="2983B2F4">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4．甲方在合同约定期限内履行付款责任；</w:t>
      </w:r>
    </w:p>
    <w:p w14:paraId="62CAFC07">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5．甲方在乙方进行安装调试时应给予协助和协调各方关系，乙方应及时提出需要甲方协助和协调的内容，以便保证合同的正常履行；</w:t>
      </w:r>
    </w:p>
    <w:p w14:paraId="16C7E0A7">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6．甲方对乙方的技术及商业机密予以保密；</w:t>
      </w:r>
    </w:p>
    <w:p w14:paraId="300D1C0F">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7．乙方有权按照合同，要求甲方支付相应款项；</w:t>
      </w:r>
    </w:p>
    <w:p w14:paraId="5577CB01">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8．乙方有权在实施安装调试时，提出合乎情理的甲方协助要求；</w:t>
      </w:r>
    </w:p>
    <w:p w14:paraId="68C6010A">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9．乙方应保证甲方在使用该货物或其任何一部分时不受第三方提出侵犯其专利权、版权、商标权或其他权利的起诉。一旦出现侵权，索赔或诉讼，乙方应承担全部责任；</w:t>
      </w:r>
    </w:p>
    <w:p w14:paraId="5B72E281">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10.乙方保证货物是全新的、未使用过的，完全符合国家规范及甲乙双方确认的投标文件、本合同关于货物数量、质量的要求。货物符合实行国家“三包”规定的，应执行“三包”规定。</w:t>
      </w:r>
    </w:p>
    <w:p w14:paraId="56D230F4">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本项目质保期</w:t>
      </w:r>
      <w:r>
        <w:rPr>
          <w:rFonts w:hint="eastAsia" w:ascii="宋体" w:hAnsi="宋体" w:cs="宋体"/>
          <w:sz w:val="24"/>
          <w:highlight w:val="none"/>
          <w:u w:val="single"/>
        </w:rPr>
        <w:t xml:space="preserve">      </w:t>
      </w:r>
      <w:r>
        <w:rPr>
          <w:rFonts w:hint="eastAsia" w:ascii="宋体" w:hAnsi="宋体" w:cs="宋体"/>
          <w:sz w:val="24"/>
          <w:highlight w:val="none"/>
        </w:rPr>
        <w:t>年；</w:t>
      </w:r>
    </w:p>
    <w:p w14:paraId="40F811D1">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11.乙方提交的货物应符合投标文件中所记载的详细配置、技术参数、参数及性能，并应附有此类货物完整、详细的技术资料和说明文件；</w:t>
      </w:r>
    </w:p>
    <w:p w14:paraId="4DA4D991">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12.乙方提交的货物必须按照招标采购文件的要求和中标人投标文件的承诺，以规定标准进行制造、安装；</w:t>
      </w:r>
    </w:p>
    <w:p w14:paraId="16B05C92">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13.乙方应保证将货物按照国家或专业标准包装、确保货物安全无损运抵合同规定的交货地点，并进行安装、试运行；</w:t>
      </w:r>
    </w:p>
    <w:p w14:paraId="4BE23245">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14.乙方保证货物不存在危及人身及财产安全的产品缺陷，否则应承担全部法律责任。</w:t>
      </w:r>
    </w:p>
    <w:p w14:paraId="5336F743">
      <w:pPr>
        <w:keepNext w:val="0"/>
        <w:keepLines w:val="0"/>
        <w:pageBreakBefore w:val="0"/>
        <w:widowControl w:val="0"/>
        <w:kinsoku/>
        <w:wordWrap w:val="0"/>
        <w:overflowPunct/>
        <w:topLinePunct/>
        <w:autoSpaceDE/>
        <w:autoSpaceDN/>
        <w:bidi w:val="0"/>
        <w:spacing w:line="360" w:lineRule="auto"/>
        <w:ind w:firstLine="562"/>
        <w:rPr>
          <w:rFonts w:ascii="宋体" w:hAnsi="宋体" w:cs="宋体"/>
          <w:b/>
          <w:sz w:val="24"/>
          <w:highlight w:val="none"/>
        </w:rPr>
      </w:pPr>
      <w:r>
        <w:rPr>
          <w:rFonts w:hint="eastAsia" w:ascii="宋体" w:hAnsi="宋体" w:cs="宋体"/>
          <w:b/>
          <w:sz w:val="24"/>
          <w:highlight w:val="none"/>
        </w:rPr>
        <w:t>四、售后服务</w:t>
      </w:r>
    </w:p>
    <w:p w14:paraId="4273FBD4">
      <w:pPr>
        <w:keepNext w:val="0"/>
        <w:keepLines w:val="0"/>
        <w:pageBreakBefore w:val="0"/>
        <w:widowControl w:val="0"/>
        <w:kinsoku/>
        <w:wordWrap w:val="0"/>
        <w:overflowPunct/>
        <w:topLinePunct/>
        <w:autoSpaceDE/>
        <w:autoSpaceDN/>
        <w:bidi w:val="0"/>
        <w:spacing w:line="360" w:lineRule="auto"/>
        <w:ind w:firstLine="560"/>
        <w:rPr>
          <w:rFonts w:ascii="宋体" w:hAnsi="宋体" w:cs="宋体"/>
          <w:bCs/>
          <w:sz w:val="24"/>
          <w:highlight w:val="none"/>
        </w:rPr>
      </w:pPr>
      <w:r>
        <w:rPr>
          <w:rFonts w:hint="eastAsia" w:ascii="宋体" w:hAnsi="宋体" w:cs="宋体"/>
          <w:bCs/>
          <w:sz w:val="24"/>
          <w:highlight w:val="none"/>
        </w:rPr>
        <w:t>1.质量保证期为自货物通过最终验收之日起</w:t>
      </w:r>
      <w:r>
        <w:rPr>
          <w:rFonts w:hint="eastAsia" w:ascii="宋体" w:hAnsi="宋体" w:cs="宋体"/>
          <w:bCs/>
          <w:sz w:val="24"/>
          <w:highlight w:val="none"/>
          <w:u w:val="single"/>
        </w:rPr>
        <w:t xml:space="preserve">    </w:t>
      </w:r>
      <w:r>
        <w:rPr>
          <w:rFonts w:hint="eastAsia" w:ascii="宋体" w:hAnsi="宋体" w:cs="宋体"/>
          <w:bCs/>
          <w:sz w:val="24"/>
          <w:highlight w:val="none"/>
        </w:rPr>
        <w:t>年。若国家有明确规定的质量保证期高于此质量保证期的，执行国家规定。</w:t>
      </w:r>
    </w:p>
    <w:p w14:paraId="63746B6A">
      <w:pPr>
        <w:keepNext w:val="0"/>
        <w:keepLines w:val="0"/>
        <w:pageBreakBefore w:val="0"/>
        <w:widowControl w:val="0"/>
        <w:kinsoku/>
        <w:wordWrap w:val="0"/>
        <w:overflowPunct/>
        <w:topLinePunct/>
        <w:autoSpaceDE/>
        <w:autoSpaceDN/>
        <w:bidi w:val="0"/>
        <w:spacing w:line="360" w:lineRule="auto"/>
        <w:ind w:firstLine="560"/>
        <w:rPr>
          <w:rFonts w:ascii="宋体" w:hAnsi="宋体" w:cs="宋体"/>
          <w:bCs/>
          <w:sz w:val="24"/>
          <w:highlight w:val="none"/>
        </w:rPr>
      </w:pPr>
      <w:r>
        <w:rPr>
          <w:rFonts w:hint="eastAsia" w:ascii="宋体" w:hAnsi="宋体" w:cs="宋体"/>
          <w:bCs/>
          <w:sz w:val="24"/>
          <w:highlight w:val="none"/>
        </w:rPr>
        <w:t>2.在货物质保期内，乙方应对由于设计、工艺、质量（含环保节能要求）、材料和的缺陷而发生的任何不足或故障负责，并解决存在的问题。</w:t>
      </w:r>
    </w:p>
    <w:p w14:paraId="4AEFD13B">
      <w:pPr>
        <w:keepNext w:val="0"/>
        <w:keepLines w:val="0"/>
        <w:pageBreakBefore w:val="0"/>
        <w:widowControl w:val="0"/>
        <w:kinsoku/>
        <w:wordWrap w:val="0"/>
        <w:overflowPunct/>
        <w:topLinePunct/>
        <w:autoSpaceDE/>
        <w:autoSpaceDN/>
        <w:bidi w:val="0"/>
        <w:spacing w:line="360" w:lineRule="auto"/>
        <w:ind w:firstLine="560"/>
        <w:rPr>
          <w:rFonts w:ascii="宋体" w:hAnsi="宋体" w:cs="宋体"/>
          <w:bCs/>
          <w:sz w:val="24"/>
          <w:highlight w:val="none"/>
        </w:rPr>
      </w:pPr>
      <w:r>
        <w:rPr>
          <w:rFonts w:hint="eastAsia" w:ascii="宋体" w:hAnsi="宋体" w:cs="宋体"/>
          <w:bCs/>
          <w:sz w:val="24"/>
          <w:highlight w:val="none"/>
        </w:rPr>
        <w:t>3.对不符合本合同第四条约定要求的货物应立即进行调换，调换本身并不影响甲方就其损失向乙方索赔的权利。</w:t>
      </w:r>
    </w:p>
    <w:p w14:paraId="61F37E7C">
      <w:pPr>
        <w:pStyle w:val="23"/>
        <w:keepNext w:val="0"/>
        <w:keepLines w:val="0"/>
        <w:pageBreakBefore w:val="0"/>
        <w:widowControl w:val="0"/>
        <w:kinsoku/>
        <w:wordWrap w:val="0"/>
        <w:overflowPunct/>
        <w:topLinePunct/>
        <w:autoSpaceDE/>
        <w:autoSpaceDN/>
        <w:bidi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4.货物安装调试完成后，乙方应继续向甲方提供良好的技术支持。应当由专门队伍从事此项工作，并提供全天候的热线技术支持服务，应当对甲方所反映的任何问题在</w:t>
      </w:r>
      <w:r>
        <w:rPr>
          <w:rFonts w:hint="eastAsia" w:ascii="宋体" w:hAnsi="宋体" w:cs="宋体"/>
          <w:bCs/>
          <w:sz w:val="24"/>
          <w:highlight w:val="none"/>
          <w:u w:val="single"/>
        </w:rPr>
        <w:t xml:space="preserve">    </w:t>
      </w:r>
      <w:r>
        <w:rPr>
          <w:rFonts w:hint="eastAsia" w:ascii="宋体" w:hAnsi="宋体" w:cs="宋体"/>
          <w:bCs/>
          <w:sz w:val="24"/>
          <w:highlight w:val="none"/>
        </w:rPr>
        <w:t>日（小时）之内做出及时响应，在</w:t>
      </w:r>
      <w:r>
        <w:rPr>
          <w:rFonts w:hint="eastAsia" w:ascii="宋体" w:hAnsi="宋体" w:cs="宋体"/>
          <w:bCs/>
          <w:sz w:val="24"/>
          <w:highlight w:val="none"/>
          <w:u w:val="single"/>
        </w:rPr>
        <w:t xml:space="preserve">    </w:t>
      </w:r>
      <w:r>
        <w:rPr>
          <w:rFonts w:hint="eastAsia" w:ascii="宋体" w:hAnsi="宋体" w:cs="宋体"/>
          <w:bCs/>
          <w:sz w:val="24"/>
          <w:highlight w:val="none"/>
        </w:rPr>
        <w:t>日（小时）之内赶到现场实地解决问题。若问题、故障在检修</w:t>
      </w:r>
      <w:r>
        <w:rPr>
          <w:rFonts w:hint="eastAsia" w:ascii="宋体" w:hAnsi="宋体" w:cs="宋体"/>
          <w:bCs/>
          <w:sz w:val="24"/>
          <w:highlight w:val="none"/>
          <w:u w:val="single"/>
        </w:rPr>
        <w:t xml:space="preserve">    </w:t>
      </w:r>
      <w:r>
        <w:rPr>
          <w:rFonts w:hint="eastAsia" w:ascii="宋体" w:hAnsi="宋体" w:cs="宋体"/>
          <w:bCs/>
          <w:sz w:val="24"/>
          <w:highlight w:val="none"/>
        </w:rPr>
        <w:t>工作日（小时）后仍无法解决，乙方应在</w:t>
      </w:r>
      <w:r>
        <w:rPr>
          <w:rFonts w:hint="eastAsia" w:ascii="宋体" w:hAnsi="宋体" w:cs="宋体"/>
          <w:bCs/>
          <w:sz w:val="24"/>
          <w:highlight w:val="none"/>
          <w:u w:val="single"/>
        </w:rPr>
        <w:t xml:space="preserve">     </w:t>
      </w:r>
      <w:r>
        <w:rPr>
          <w:rFonts w:hint="eastAsia" w:ascii="宋体" w:hAnsi="宋体" w:cs="宋体"/>
          <w:bCs/>
          <w:sz w:val="24"/>
          <w:highlight w:val="none"/>
        </w:rPr>
        <w:t>日（小时）内免费提供不低于故障货物规格型号档次的备用货物供甲方使用，不能修复的系统问题要以报告形式说明情况直至故障货物修复。</w:t>
      </w:r>
      <w:r>
        <w:rPr>
          <w:rFonts w:hint="eastAsia" w:ascii="宋体" w:hAnsi="宋体" w:cs="宋体"/>
          <w:sz w:val="24"/>
          <w:highlight w:val="none"/>
        </w:rPr>
        <w:t>如果设备交付使用后,缺陷多次反复出现,乙方必须提出分析报告和解决方案，直到最后纠正缺陷。</w:t>
      </w:r>
    </w:p>
    <w:p w14:paraId="6FEC40FA">
      <w:pPr>
        <w:keepNext w:val="0"/>
        <w:keepLines w:val="0"/>
        <w:pageBreakBefore w:val="0"/>
        <w:widowControl w:val="0"/>
        <w:kinsoku/>
        <w:wordWrap w:val="0"/>
        <w:overflowPunct/>
        <w:topLinePunct/>
        <w:autoSpaceDE/>
        <w:autoSpaceDN/>
        <w:bidi w:val="0"/>
        <w:spacing w:line="360" w:lineRule="auto"/>
        <w:ind w:firstLine="560"/>
        <w:rPr>
          <w:rFonts w:ascii="宋体" w:hAnsi="宋体" w:cs="宋体"/>
          <w:bCs/>
          <w:sz w:val="24"/>
          <w:highlight w:val="none"/>
        </w:rPr>
      </w:pPr>
      <w:r>
        <w:rPr>
          <w:rFonts w:hint="eastAsia" w:ascii="宋体" w:hAnsi="宋体" w:cs="宋体"/>
          <w:bCs/>
          <w:sz w:val="24"/>
          <w:highlight w:val="none"/>
        </w:rPr>
        <w:t>5.乙方应当建立健全售后服务体系，确保货物正常运行。乙方应当遵守甲方的有关管理制度、操作规程。对于乙方违规操作造成甲方损失的，由乙方按照本合同第十二条的规定承担赔偿责任。</w:t>
      </w:r>
    </w:p>
    <w:p w14:paraId="106EC496">
      <w:pPr>
        <w:keepNext w:val="0"/>
        <w:keepLines w:val="0"/>
        <w:pageBreakBefore w:val="0"/>
        <w:widowControl w:val="0"/>
        <w:kinsoku/>
        <w:wordWrap w:val="0"/>
        <w:overflowPunct/>
        <w:topLinePunct/>
        <w:autoSpaceDE/>
        <w:autoSpaceDN/>
        <w:bidi w:val="0"/>
        <w:spacing w:line="360" w:lineRule="auto"/>
        <w:ind w:firstLine="560"/>
        <w:rPr>
          <w:rFonts w:ascii="宋体" w:hAnsi="宋体" w:cs="宋体"/>
          <w:bCs/>
          <w:sz w:val="24"/>
          <w:highlight w:val="none"/>
        </w:rPr>
      </w:pPr>
      <w:r>
        <w:rPr>
          <w:rFonts w:hint="eastAsia" w:ascii="宋体" w:hAnsi="宋体" w:cs="宋体"/>
          <w:bCs/>
          <w:sz w:val="24"/>
          <w:highlight w:val="none"/>
        </w:rPr>
        <w:t>6.乙方应负责货物及主要部件、配件维修更换。质保期内，乙方对货物（人为故意损坏除外）提供全免费保修或免费更换；质保期后，收取维修成本费（备品备件乙方应以投标文件承诺的优惠价格提供）。</w:t>
      </w:r>
    </w:p>
    <w:p w14:paraId="4587E4C2">
      <w:pPr>
        <w:keepNext w:val="0"/>
        <w:keepLines w:val="0"/>
        <w:pageBreakBefore w:val="0"/>
        <w:widowControl w:val="0"/>
        <w:kinsoku/>
        <w:wordWrap w:val="0"/>
        <w:overflowPunct/>
        <w:topLinePunct/>
        <w:autoSpaceDE/>
        <w:autoSpaceDN/>
        <w:bidi w:val="0"/>
        <w:spacing w:line="360" w:lineRule="auto"/>
        <w:ind w:firstLine="562"/>
        <w:rPr>
          <w:rFonts w:ascii="宋体" w:hAnsi="宋体" w:cs="宋体"/>
          <w:b/>
          <w:sz w:val="24"/>
          <w:highlight w:val="none"/>
        </w:rPr>
      </w:pPr>
      <w:r>
        <w:rPr>
          <w:rFonts w:hint="eastAsia" w:ascii="宋体" w:hAnsi="宋体" w:cs="宋体"/>
          <w:b/>
          <w:sz w:val="24"/>
          <w:highlight w:val="none"/>
        </w:rPr>
        <w:t>五、合同的生效</w:t>
      </w:r>
    </w:p>
    <w:p w14:paraId="3B88D763">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1.本合同经双方法定代表人或委托代理人签字并加盖公章或合同专用章之日起生效；</w:t>
      </w:r>
    </w:p>
    <w:p w14:paraId="5876C1B7">
      <w:pPr>
        <w:keepNext w:val="0"/>
        <w:keepLines w:val="0"/>
        <w:pageBreakBefore w:val="0"/>
        <w:widowControl w:val="0"/>
        <w:kinsoku/>
        <w:wordWrap w:val="0"/>
        <w:overflowPunct/>
        <w:topLinePunct/>
        <w:autoSpaceDE/>
        <w:autoSpaceDN/>
        <w:bidi w:val="0"/>
        <w:spacing w:line="360" w:lineRule="auto"/>
        <w:ind w:firstLine="560"/>
        <w:rPr>
          <w:rFonts w:ascii="宋体" w:hAnsi="宋体" w:cs="宋体"/>
          <w:b/>
          <w:sz w:val="24"/>
          <w:highlight w:val="none"/>
        </w:rPr>
      </w:pPr>
      <w:r>
        <w:rPr>
          <w:rFonts w:hint="eastAsia" w:ascii="宋体" w:hAnsi="宋体" w:cs="宋体"/>
          <w:sz w:val="24"/>
          <w:highlight w:val="none"/>
        </w:rPr>
        <w:t>2.生效后，除《政府采购法》第49条、第50条第二款规定的情形外，甲乙双方不得擅自变更、中止或解除合同。</w:t>
      </w:r>
    </w:p>
    <w:p w14:paraId="52AA21C8">
      <w:pPr>
        <w:keepNext w:val="0"/>
        <w:keepLines w:val="0"/>
        <w:pageBreakBefore w:val="0"/>
        <w:widowControl w:val="0"/>
        <w:kinsoku/>
        <w:wordWrap w:val="0"/>
        <w:overflowPunct/>
        <w:topLinePunct/>
        <w:autoSpaceDE/>
        <w:autoSpaceDN/>
        <w:bidi w:val="0"/>
        <w:spacing w:line="360" w:lineRule="auto"/>
        <w:ind w:firstLine="562"/>
        <w:rPr>
          <w:rFonts w:ascii="宋体" w:hAnsi="宋体" w:cs="宋体"/>
          <w:b/>
          <w:sz w:val="24"/>
          <w:highlight w:val="none"/>
        </w:rPr>
      </w:pPr>
      <w:r>
        <w:rPr>
          <w:rFonts w:hint="eastAsia" w:ascii="宋体" w:hAnsi="宋体" w:cs="宋体"/>
          <w:b/>
          <w:sz w:val="24"/>
          <w:highlight w:val="none"/>
        </w:rPr>
        <w:t>六、违约责任</w:t>
      </w:r>
    </w:p>
    <w:p w14:paraId="2E950AC0">
      <w:pPr>
        <w:keepNext w:val="0"/>
        <w:keepLines w:val="0"/>
        <w:pageBreakBefore w:val="0"/>
        <w:widowControl w:val="0"/>
        <w:kinsoku/>
        <w:wordWrap w:val="0"/>
        <w:overflowPunct/>
        <w:topLinePunct/>
        <w:autoSpaceDE/>
        <w:autoSpaceDN/>
        <w:bidi w:val="0"/>
        <w:spacing w:line="360" w:lineRule="auto"/>
        <w:ind w:firstLine="560"/>
        <w:rPr>
          <w:rFonts w:ascii="宋体" w:hAnsi="宋体" w:cs="宋体"/>
          <w:bCs/>
          <w:sz w:val="24"/>
          <w:highlight w:val="none"/>
        </w:rPr>
      </w:pPr>
      <w:r>
        <w:rPr>
          <w:rFonts w:hint="eastAsia" w:ascii="宋体" w:hAnsi="宋体" w:cs="宋体"/>
          <w:bCs/>
          <w:sz w:val="24"/>
          <w:highlight w:val="none"/>
        </w:rPr>
        <w:t>1.乙方所交付的货物不符合本合同约定的，甲方有权拒收，乙方在得到甲方通知之日起</w:t>
      </w:r>
      <w:r>
        <w:rPr>
          <w:rFonts w:hint="eastAsia" w:ascii="宋体" w:hAnsi="宋体" w:cs="宋体"/>
          <w:bCs/>
          <w:sz w:val="24"/>
          <w:highlight w:val="none"/>
          <w:u w:val="single"/>
          <w:lang w:val="en-US" w:eastAsia="zh-CN"/>
        </w:rPr>
        <w:t>7</w:t>
      </w:r>
      <w:r>
        <w:rPr>
          <w:rFonts w:hint="eastAsia" w:ascii="宋体" w:hAnsi="宋体" w:cs="宋体"/>
          <w:bCs/>
          <w:sz w:val="24"/>
          <w:highlight w:val="none"/>
        </w:rPr>
        <w:t>个工作日内采取补救措施，逾期仍未采取有效措施的，甲方有权要求乙方赔偿因此造成的损失或扣留履约保证金；同时乙方应向甲方支付合同总价</w:t>
      </w:r>
      <w:r>
        <w:rPr>
          <w:rFonts w:hint="eastAsia" w:ascii="宋体" w:hAnsi="宋体" w:cs="宋体"/>
          <w:bCs/>
          <w:sz w:val="24"/>
          <w:highlight w:val="none"/>
          <w:u w:val="single"/>
          <w:lang w:val="en-US" w:eastAsia="zh-CN"/>
        </w:rPr>
        <w:t>0.1</w:t>
      </w:r>
      <w:r>
        <w:rPr>
          <w:rFonts w:hint="eastAsia" w:ascii="宋体" w:hAnsi="宋体" w:cs="宋体"/>
          <w:bCs/>
          <w:sz w:val="24"/>
          <w:highlight w:val="none"/>
        </w:rPr>
        <w:t>％的违约金。</w:t>
      </w:r>
    </w:p>
    <w:p w14:paraId="3275027B">
      <w:pPr>
        <w:keepNext w:val="0"/>
        <w:keepLines w:val="0"/>
        <w:pageBreakBefore w:val="0"/>
        <w:widowControl w:val="0"/>
        <w:kinsoku/>
        <w:wordWrap w:val="0"/>
        <w:overflowPunct/>
        <w:topLinePunct/>
        <w:autoSpaceDE/>
        <w:autoSpaceDN/>
        <w:bidi w:val="0"/>
        <w:spacing w:line="360" w:lineRule="auto"/>
        <w:ind w:firstLine="560"/>
        <w:rPr>
          <w:rFonts w:ascii="宋体" w:hAnsi="宋体" w:cs="宋体"/>
          <w:bCs/>
          <w:sz w:val="24"/>
          <w:highlight w:val="none"/>
        </w:rPr>
      </w:pPr>
      <w:r>
        <w:rPr>
          <w:rFonts w:hint="eastAsia" w:ascii="宋体" w:hAnsi="宋体" w:cs="宋体"/>
          <w:bCs/>
          <w:sz w:val="24"/>
          <w:highlight w:val="none"/>
        </w:rPr>
        <w:t>2.甲方无正当理由拒收货物、拒付货款的，甲方应向乙方偿付拒付货款</w:t>
      </w:r>
      <w:r>
        <w:rPr>
          <w:rFonts w:hint="eastAsia" w:ascii="宋体" w:hAnsi="宋体" w:cs="宋体"/>
          <w:bCs/>
          <w:sz w:val="24"/>
          <w:highlight w:val="none"/>
          <w:u w:val="single"/>
          <w:lang w:val="en-US" w:eastAsia="zh-CN"/>
        </w:rPr>
        <w:t>0.1</w:t>
      </w:r>
      <w:r>
        <w:rPr>
          <w:rFonts w:hint="eastAsia" w:ascii="宋体" w:hAnsi="宋体" w:cs="宋体"/>
          <w:bCs/>
          <w:sz w:val="24"/>
          <w:highlight w:val="none"/>
        </w:rPr>
        <w:t>％的违约金。</w:t>
      </w:r>
    </w:p>
    <w:p w14:paraId="0346400E">
      <w:pPr>
        <w:keepNext w:val="0"/>
        <w:keepLines w:val="0"/>
        <w:pageBreakBefore w:val="0"/>
        <w:widowControl w:val="0"/>
        <w:kinsoku/>
        <w:wordWrap w:val="0"/>
        <w:overflowPunct/>
        <w:topLinePunct/>
        <w:autoSpaceDE/>
        <w:autoSpaceDN/>
        <w:bidi w:val="0"/>
        <w:spacing w:line="360" w:lineRule="auto"/>
        <w:ind w:firstLine="560"/>
        <w:rPr>
          <w:rFonts w:ascii="宋体" w:hAnsi="宋体" w:cs="宋体"/>
          <w:bCs/>
          <w:sz w:val="24"/>
          <w:highlight w:val="none"/>
        </w:rPr>
      </w:pPr>
      <w:r>
        <w:rPr>
          <w:rFonts w:hint="eastAsia" w:ascii="宋体" w:hAnsi="宋体" w:cs="宋体"/>
          <w:bCs/>
          <w:sz w:val="24"/>
          <w:highlight w:val="none"/>
        </w:rPr>
        <w:t>3.乙方无正当理由逾期交付货物的，每逾期1天，乙方向甲方偿付逾期交货部分货款总额的</w:t>
      </w:r>
      <w:r>
        <w:rPr>
          <w:rFonts w:hint="eastAsia" w:ascii="宋体" w:hAnsi="宋体" w:cs="宋体"/>
          <w:bCs/>
          <w:sz w:val="24"/>
          <w:highlight w:val="none"/>
          <w:u w:val="single"/>
          <w:lang w:val="en-US" w:eastAsia="zh-CN"/>
        </w:rPr>
        <w:t>0.3</w:t>
      </w:r>
      <w:r>
        <w:rPr>
          <w:rFonts w:hint="eastAsia" w:ascii="宋体" w:hAnsi="宋体" w:cs="宋体"/>
          <w:bCs/>
          <w:sz w:val="24"/>
          <w:highlight w:val="none"/>
        </w:rPr>
        <w:t>‰的违约金。如乙方逾期交货达</w:t>
      </w:r>
      <w:r>
        <w:rPr>
          <w:rFonts w:hint="eastAsia" w:ascii="宋体" w:hAnsi="宋体" w:cs="宋体"/>
          <w:bCs/>
          <w:sz w:val="24"/>
          <w:highlight w:val="none"/>
          <w:u w:val="single"/>
          <w:lang w:val="en-US" w:eastAsia="zh-CN"/>
        </w:rPr>
        <w:t>15</w:t>
      </w:r>
      <w:r>
        <w:rPr>
          <w:rFonts w:hint="eastAsia" w:ascii="宋体" w:hAnsi="宋体" w:cs="宋体"/>
          <w:bCs/>
          <w:sz w:val="24"/>
          <w:highlight w:val="none"/>
        </w:rPr>
        <w:t>天，甲方有权解除合同，甲方解除合同的通知自到达乙方时生效。在此情况下，乙方给甲方造成的实际损失高于违约金的，对高出违约金的部分乙方应予以赔偿。</w:t>
      </w:r>
    </w:p>
    <w:p w14:paraId="6CE140C9">
      <w:pPr>
        <w:keepNext w:val="0"/>
        <w:keepLines w:val="0"/>
        <w:pageBreakBefore w:val="0"/>
        <w:widowControl w:val="0"/>
        <w:kinsoku/>
        <w:wordWrap w:val="0"/>
        <w:overflowPunct/>
        <w:topLinePunct/>
        <w:autoSpaceDE/>
        <w:autoSpaceDN/>
        <w:bidi w:val="0"/>
        <w:spacing w:line="360" w:lineRule="auto"/>
        <w:ind w:firstLine="560"/>
        <w:rPr>
          <w:rFonts w:ascii="宋体" w:hAnsi="宋体" w:cs="宋体"/>
          <w:bCs/>
          <w:sz w:val="24"/>
          <w:highlight w:val="none"/>
        </w:rPr>
      </w:pPr>
      <w:r>
        <w:rPr>
          <w:rFonts w:hint="eastAsia" w:ascii="宋体" w:hAnsi="宋体" w:cs="宋体"/>
          <w:bCs/>
          <w:sz w:val="24"/>
          <w:highlight w:val="none"/>
        </w:rPr>
        <w:t>4.甲方未按合同规定的期限向乙方支付货款的，每逾期1天甲方向乙方支付应付金额的</w:t>
      </w:r>
      <w:r>
        <w:rPr>
          <w:rFonts w:hint="eastAsia" w:ascii="宋体" w:hAnsi="宋体" w:cs="宋体"/>
          <w:bCs/>
          <w:sz w:val="24"/>
          <w:highlight w:val="none"/>
          <w:u w:val="single"/>
          <w:lang w:val="en-US" w:eastAsia="zh-CN"/>
        </w:rPr>
        <w:t>0.3</w:t>
      </w:r>
      <w:r>
        <w:rPr>
          <w:rFonts w:hint="eastAsia" w:ascii="宋体" w:hAnsi="宋体" w:cs="宋体"/>
          <w:bCs/>
          <w:sz w:val="24"/>
          <w:highlight w:val="none"/>
        </w:rPr>
        <w:t>‰违约金，但累计违约金总额不超过应付款总额的</w:t>
      </w:r>
      <w:r>
        <w:rPr>
          <w:rFonts w:hint="eastAsia" w:ascii="宋体" w:hAnsi="宋体" w:cs="宋体"/>
          <w:bCs/>
          <w:sz w:val="24"/>
          <w:highlight w:val="none"/>
          <w:u w:val="single"/>
          <w:lang w:val="en-US" w:eastAsia="zh-CN"/>
        </w:rPr>
        <w:t>20</w:t>
      </w:r>
      <w:r>
        <w:rPr>
          <w:rFonts w:hint="eastAsia" w:ascii="宋体" w:hAnsi="宋体" w:cs="宋体"/>
          <w:bCs/>
          <w:sz w:val="24"/>
          <w:highlight w:val="none"/>
        </w:rPr>
        <w:t>％。</w:t>
      </w:r>
    </w:p>
    <w:p w14:paraId="49F5064E">
      <w:pPr>
        <w:keepNext w:val="0"/>
        <w:keepLines w:val="0"/>
        <w:pageBreakBefore w:val="0"/>
        <w:widowControl w:val="0"/>
        <w:kinsoku/>
        <w:wordWrap w:val="0"/>
        <w:overflowPunct/>
        <w:topLinePunct/>
        <w:autoSpaceDE/>
        <w:autoSpaceDN/>
        <w:bidi w:val="0"/>
        <w:spacing w:line="360" w:lineRule="auto"/>
        <w:ind w:firstLine="560"/>
        <w:rPr>
          <w:rFonts w:ascii="宋体" w:hAnsi="宋体" w:cs="宋体"/>
          <w:bCs/>
          <w:sz w:val="24"/>
          <w:highlight w:val="none"/>
        </w:rPr>
      </w:pPr>
      <w:r>
        <w:rPr>
          <w:rFonts w:hint="eastAsia" w:ascii="宋体" w:hAnsi="宋体" w:cs="宋体"/>
          <w:bCs/>
          <w:sz w:val="24"/>
          <w:highlight w:val="none"/>
        </w:rPr>
        <w:t>5.在乙方承诺的或国家规定的质量保证期内（取两者中最长的期限），如经乙方两次维修，货物仍不能达到合同规定的质量标准、运行效果的，甲方有权要求乙方更换为全新合格货物并按本条第1款处理，同时，乙方还须赔偿甲方因此遭受的损失。</w:t>
      </w:r>
    </w:p>
    <w:p w14:paraId="2D28D2CF">
      <w:pPr>
        <w:keepNext w:val="0"/>
        <w:keepLines w:val="0"/>
        <w:pageBreakBefore w:val="0"/>
        <w:widowControl w:val="0"/>
        <w:kinsoku/>
        <w:wordWrap w:val="0"/>
        <w:overflowPunct/>
        <w:topLinePunct/>
        <w:autoSpaceDE/>
        <w:autoSpaceDN/>
        <w:bidi w:val="0"/>
        <w:spacing w:line="360" w:lineRule="auto"/>
        <w:ind w:firstLine="560"/>
        <w:rPr>
          <w:rFonts w:ascii="宋体" w:hAnsi="宋体" w:cs="宋体"/>
          <w:bCs/>
          <w:sz w:val="24"/>
          <w:highlight w:val="none"/>
        </w:rPr>
      </w:pPr>
      <w:r>
        <w:rPr>
          <w:rFonts w:hint="eastAsia" w:ascii="宋体" w:hAnsi="宋体" w:cs="宋体"/>
          <w:bCs/>
          <w:sz w:val="24"/>
          <w:highlight w:val="none"/>
        </w:rPr>
        <w:t>6.其它未尽事宜，以《合同法》和《政府采购法》等有关法律法规规定为准，无相关规定的，双方协商解决。</w:t>
      </w:r>
    </w:p>
    <w:p w14:paraId="27C630C9">
      <w:pPr>
        <w:keepNext w:val="0"/>
        <w:keepLines w:val="0"/>
        <w:pageBreakBefore w:val="0"/>
        <w:widowControl w:val="0"/>
        <w:kinsoku/>
        <w:wordWrap w:val="0"/>
        <w:overflowPunct/>
        <w:topLinePunct/>
        <w:autoSpaceDE/>
        <w:autoSpaceDN/>
        <w:bidi w:val="0"/>
        <w:spacing w:line="360" w:lineRule="auto"/>
        <w:ind w:firstLine="562"/>
        <w:rPr>
          <w:rFonts w:ascii="宋体" w:hAnsi="宋体" w:cs="宋体"/>
          <w:b/>
          <w:sz w:val="24"/>
          <w:highlight w:val="none"/>
        </w:rPr>
      </w:pPr>
      <w:r>
        <w:rPr>
          <w:rFonts w:hint="eastAsia" w:ascii="宋体" w:hAnsi="宋体" w:cs="宋体"/>
          <w:b/>
          <w:sz w:val="24"/>
          <w:highlight w:val="none"/>
        </w:rPr>
        <w:t>七、 不可抗力</w:t>
      </w:r>
    </w:p>
    <w:p w14:paraId="48725445">
      <w:pPr>
        <w:keepNext w:val="0"/>
        <w:keepLines w:val="0"/>
        <w:pageBreakBefore w:val="0"/>
        <w:widowControl w:val="0"/>
        <w:kinsoku/>
        <w:wordWrap w:val="0"/>
        <w:overflowPunct/>
        <w:topLinePunct/>
        <w:autoSpaceDE/>
        <w:autoSpaceDN/>
        <w:bidi w:val="0"/>
        <w:spacing w:line="360" w:lineRule="auto"/>
        <w:ind w:firstLine="560"/>
        <w:rPr>
          <w:rFonts w:ascii="宋体" w:hAnsi="宋体" w:cs="宋体"/>
          <w:bCs/>
          <w:sz w:val="24"/>
          <w:highlight w:val="none"/>
        </w:rPr>
      </w:pPr>
      <w:r>
        <w:rPr>
          <w:rFonts w:hint="eastAsia" w:ascii="宋体" w:hAnsi="宋体" w:cs="宋体"/>
          <w:bCs/>
          <w:sz w:val="24"/>
          <w:highlight w:val="none"/>
        </w:rPr>
        <w:t>甲、乙方中任何一方，因不可抗力不能按时或完全履行合同的，应及时通知对方，并在不可抗力发生后</w:t>
      </w:r>
      <w:r>
        <w:rPr>
          <w:rFonts w:hint="eastAsia" w:ascii="宋体" w:hAnsi="宋体" w:cs="宋体"/>
          <w:bCs/>
          <w:sz w:val="24"/>
          <w:highlight w:val="none"/>
          <w:u w:val="single"/>
        </w:rPr>
        <w:t xml:space="preserve">    </w:t>
      </w:r>
      <w:r>
        <w:rPr>
          <w:rFonts w:hint="eastAsia" w:ascii="宋体" w:hAnsi="宋体" w:cs="宋体"/>
          <w:bCs/>
          <w:sz w:val="24"/>
          <w:highlight w:val="none"/>
        </w:rPr>
        <w:t>个工作日内提供相应证明。未履行完合同部分是否继续履行、如何履行等问题，可由双方初步协商，并向主管部门和政府采购管理部门报告。确定为不可抗力原因造成的损失，免予承担责任。</w:t>
      </w:r>
    </w:p>
    <w:p w14:paraId="24849E36">
      <w:pPr>
        <w:keepNext w:val="0"/>
        <w:keepLines w:val="0"/>
        <w:pageBreakBefore w:val="0"/>
        <w:widowControl w:val="0"/>
        <w:kinsoku/>
        <w:wordWrap w:val="0"/>
        <w:overflowPunct/>
        <w:topLinePunct/>
        <w:autoSpaceDE/>
        <w:autoSpaceDN/>
        <w:bidi w:val="0"/>
        <w:spacing w:line="360" w:lineRule="auto"/>
        <w:ind w:firstLine="562"/>
        <w:rPr>
          <w:rFonts w:ascii="宋体" w:hAnsi="宋体" w:cs="宋体"/>
          <w:b/>
          <w:sz w:val="24"/>
          <w:highlight w:val="none"/>
        </w:rPr>
      </w:pPr>
      <w:r>
        <w:rPr>
          <w:rFonts w:hint="eastAsia" w:ascii="宋体" w:hAnsi="宋体" w:cs="宋体"/>
          <w:b/>
          <w:sz w:val="24"/>
          <w:highlight w:val="none"/>
        </w:rPr>
        <w:t>八、 争议的解决方式</w:t>
      </w:r>
    </w:p>
    <w:p w14:paraId="4BE79D9C">
      <w:pPr>
        <w:keepNext w:val="0"/>
        <w:keepLines w:val="0"/>
        <w:pageBreakBefore w:val="0"/>
        <w:widowControl w:val="0"/>
        <w:kinsoku/>
        <w:wordWrap w:val="0"/>
        <w:overflowPunct/>
        <w:topLinePunct/>
        <w:autoSpaceDE/>
        <w:autoSpaceDN/>
        <w:bidi w:val="0"/>
        <w:spacing w:line="360" w:lineRule="auto"/>
        <w:ind w:firstLine="560"/>
        <w:rPr>
          <w:rFonts w:ascii="宋体" w:hAnsi="宋体" w:cs="宋体"/>
          <w:bCs/>
          <w:sz w:val="24"/>
          <w:highlight w:val="none"/>
        </w:rPr>
      </w:pPr>
      <w:r>
        <w:rPr>
          <w:rFonts w:hint="eastAsia" w:ascii="宋体" w:hAnsi="宋体" w:cs="宋体"/>
          <w:bCs/>
          <w:sz w:val="24"/>
          <w:highlight w:val="none"/>
        </w:rPr>
        <w:t>1.因货物的质量问题发生争议的，双方共同邀请国家认可的质量检测机构对货物质量进行鉴定，鉴定费用由乙方垫付，货物符合标准的，鉴定费由甲方承担；货物不符合质量标准的，鉴定费由乙方承担。</w:t>
      </w:r>
    </w:p>
    <w:p w14:paraId="11CC74D7">
      <w:pPr>
        <w:keepNext w:val="0"/>
        <w:keepLines w:val="0"/>
        <w:pageBreakBefore w:val="0"/>
        <w:widowControl w:val="0"/>
        <w:kinsoku/>
        <w:wordWrap w:val="0"/>
        <w:overflowPunct/>
        <w:topLinePunct/>
        <w:autoSpaceDE/>
        <w:autoSpaceDN/>
        <w:bidi w:val="0"/>
        <w:spacing w:line="360" w:lineRule="auto"/>
        <w:ind w:firstLine="560"/>
        <w:rPr>
          <w:rFonts w:ascii="宋体" w:hAnsi="宋体" w:cs="宋体"/>
          <w:bCs/>
          <w:sz w:val="24"/>
          <w:highlight w:val="none"/>
        </w:rPr>
      </w:pPr>
      <w:r>
        <w:rPr>
          <w:rFonts w:hint="eastAsia" w:ascii="宋体" w:hAnsi="宋体" w:cs="宋体"/>
          <w:bCs/>
          <w:sz w:val="24"/>
          <w:highlight w:val="none"/>
        </w:rPr>
        <w:t>2.在解释或者执行本合同的过程中发生争议时，双方应通过协商方式解决。</w:t>
      </w:r>
    </w:p>
    <w:p w14:paraId="3F85A925">
      <w:pPr>
        <w:keepNext w:val="0"/>
        <w:keepLines w:val="0"/>
        <w:pageBreakBefore w:val="0"/>
        <w:widowControl w:val="0"/>
        <w:kinsoku/>
        <w:wordWrap w:val="0"/>
        <w:overflowPunct/>
        <w:topLinePunct/>
        <w:autoSpaceDE/>
        <w:autoSpaceDN/>
        <w:bidi w:val="0"/>
        <w:spacing w:line="360" w:lineRule="auto"/>
        <w:ind w:firstLine="560"/>
        <w:rPr>
          <w:rFonts w:ascii="宋体" w:hAnsi="宋体" w:cs="宋体"/>
          <w:bCs/>
          <w:sz w:val="24"/>
          <w:highlight w:val="none"/>
        </w:rPr>
      </w:pPr>
      <w:r>
        <w:rPr>
          <w:rFonts w:hint="eastAsia" w:ascii="宋体" w:hAnsi="宋体" w:cs="宋体"/>
          <w:bCs/>
          <w:sz w:val="24"/>
          <w:highlight w:val="none"/>
        </w:rPr>
        <w:t>3.经协商不能解决的争议，双方可选择以下第</w:t>
      </w:r>
      <w:r>
        <w:rPr>
          <w:rFonts w:hint="eastAsia" w:ascii="宋体" w:hAnsi="宋体" w:cs="宋体"/>
          <w:bCs/>
          <w:sz w:val="24"/>
          <w:highlight w:val="none"/>
          <w:u w:val="single"/>
        </w:rPr>
        <w:t xml:space="preserve">   </w:t>
      </w:r>
      <w:r>
        <w:rPr>
          <w:rFonts w:hint="eastAsia" w:ascii="宋体" w:hAnsi="宋体" w:cs="宋体"/>
          <w:bCs/>
          <w:sz w:val="24"/>
          <w:highlight w:val="none"/>
        </w:rPr>
        <w:t>种方式解决：</w:t>
      </w:r>
    </w:p>
    <w:p w14:paraId="7537B914">
      <w:pPr>
        <w:keepNext w:val="0"/>
        <w:keepLines w:val="0"/>
        <w:pageBreakBefore w:val="0"/>
        <w:widowControl w:val="0"/>
        <w:kinsoku/>
        <w:wordWrap w:val="0"/>
        <w:overflowPunct/>
        <w:topLinePunct/>
        <w:autoSpaceDE/>
        <w:autoSpaceDN/>
        <w:bidi w:val="0"/>
        <w:spacing w:line="360" w:lineRule="auto"/>
        <w:ind w:firstLine="560"/>
        <w:rPr>
          <w:rFonts w:ascii="宋体" w:hAnsi="宋体" w:cs="宋体"/>
          <w:bCs/>
          <w:sz w:val="24"/>
          <w:highlight w:val="none"/>
        </w:rPr>
      </w:pPr>
      <w:r>
        <w:rPr>
          <w:rFonts w:hint="eastAsia" w:ascii="宋体" w:hAnsi="宋体" w:cs="宋体"/>
          <w:bCs/>
          <w:sz w:val="24"/>
          <w:highlight w:val="none"/>
        </w:rPr>
        <w:t>①向甲方所在地有管辖权的法院提起诉讼；</w:t>
      </w:r>
    </w:p>
    <w:p w14:paraId="1B45A50A">
      <w:pPr>
        <w:keepNext w:val="0"/>
        <w:keepLines w:val="0"/>
        <w:pageBreakBefore w:val="0"/>
        <w:widowControl w:val="0"/>
        <w:kinsoku/>
        <w:wordWrap w:val="0"/>
        <w:overflowPunct/>
        <w:topLinePunct/>
        <w:autoSpaceDE/>
        <w:autoSpaceDN/>
        <w:bidi w:val="0"/>
        <w:spacing w:line="360" w:lineRule="auto"/>
        <w:ind w:firstLine="560"/>
        <w:rPr>
          <w:rFonts w:ascii="宋体" w:hAnsi="宋体" w:cs="宋体"/>
          <w:bCs/>
          <w:sz w:val="24"/>
          <w:highlight w:val="none"/>
        </w:rPr>
      </w:pPr>
      <w:r>
        <w:rPr>
          <w:rFonts w:hint="eastAsia" w:ascii="宋体" w:hAnsi="宋体" w:cs="宋体"/>
          <w:bCs/>
          <w:sz w:val="24"/>
          <w:highlight w:val="none"/>
        </w:rPr>
        <w:t>②向焦作仲裁委员会提出仲裁。</w:t>
      </w:r>
    </w:p>
    <w:p w14:paraId="2EC9FAA5">
      <w:pPr>
        <w:keepNext w:val="0"/>
        <w:keepLines w:val="0"/>
        <w:pageBreakBefore w:val="0"/>
        <w:widowControl w:val="0"/>
        <w:kinsoku/>
        <w:wordWrap w:val="0"/>
        <w:overflowPunct/>
        <w:topLinePunct/>
        <w:autoSpaceDE/>
        <w:autoSpaceDN/>
        <w:bidi w:val="0"/>
        <w:spacing w:line="360" w:lineRule="auto"/>
        <w:ind w:firstLine="560"/>
        <w:rPr>
          <w:rFonts w:ascii="宋体" w:hAnsi="宋体" w:cs="宋体"/>
          <w:bCs/>
          <w:sz w:val="24"/>
          <w:highlight w:val="none"/>
        </w:rPr>
      </w:pPr>
      <w:r>
        <w:rPr>
          <w:rFonts w:hint="eastAsia" w:ascii="宋体" w:hAnsi="宋体" w:cs="宋体"/>
          <w:bCs/>
          <w:sz w:val="24"/>
          <w:highlight w:val="none"/>
        </w:rPr>
        <w:t>4.在诉讼审理或仲裁期间，除有争议部分外，本合同其他部分可以履行的仍应按合同条款继续履行。</w:t>
      </w:r>
    </w:p>
    <w:p w14:paraId="23348148">
      <w:pPr>
        <w:keepNext w:val="0"/>
        <w:keepLines w:val="0"/>
        <w:pageBreakBefore w:val="0"/>
        <w:widowControl w:val="0"/>
        <w:kinsoku/>
        <w:wordWrap w:val="0"/>
        <w:overflowPunct/>
        <w:topLinePunct/>
        <w:autoSpaceDE/>
        <w:autoSpaceDN/>
        <w:bidi w:val="0"/>
        <w:spacing w:line="360" w:lineRule="auto"/>
        <w:ind w:firstLine="562"/>
        <w:rPr>
          <w:rFonts w:ascii="宋体" w:hAnsi="宋体" w:cs="宋体"/>
          <w:b/>
          <w:sz w:val="24"/>
          <w:highlight w:val="none"/>
        </w:rPr>
      </w:pPr>
      <w:r>
        <w:rPr>
          <w:rFonts w:hint="eastAsia" w:ascii="宋体" w:hAnsi="宋体" w:cs="宋体"/>
          <w:b/>
          <w:sz w:val="24"/>
          <w:highlight w:val="none"/>
        </w:rPr>
        <w:t>九、其他</w:t>
      </w:r>
    </w:p>
    <w:p w14:paraId="7036C331">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1．本合同一式五份，甲乙双方各执二份，采购代理机构一份；</w:t>
      </w:r>
    </w:p>
    <w:p w14:paraId="474A8954">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2．本合同自法定代表人或委托代理人签字并加盖公章或合同专用章之日起生效；</w:t>
      </w:r>
    </w:p>
    <w:p w14:paraId="3DD8DB99">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3．本项目的招标文件、投标文件、中标通知书是合同的附件，与合同具有同等的法律效力；</w:t>
      </w:r>
    </w:p>
    <w:p w14:paraId="5CA363E1">
      <w:pPr>
        <w:keepNext w:val="0"/>
        <w:keepLines w:val="0"/>
        <w:pageBreakBefore w:val="0"/>
        <w:widowControl w:val="0"/>
        <w:kinsoku/>
        <w:wordWrap w:val="0"/>
        <w:overflowPunct/>
        <w:topLinePunct/>
        <w:autoSpaceDE/>
        <w:autoSpaceDN/>
        <w:bidi w:val="0"/>
        <w:spacing w:line="360" w:lineRule="auto"/>
        <w:ind w:firstLine="560"/>
        <w:rPr>
          <w:rFonts w:ascii="宋体" w:hAnsi="宋体" w:cs="宋体"/>
          <w:sz w:val="24"/>
          <w:highlight w:val="none"/>
        </w:rPr>
      </w:pPr>
      <w:r>
        <w:rPr>
          <w:rFonts w:hint="eastAsia" w:ascii="宋体" w:hAnsi="宋体" w:cs="宋体"/>
          <w:sz w:val="24"/>
          <w:highlight w:val="none"/>
        </w:rPr>
        <w:t>4．其它未尽事宜，由双方友好协商解决，并参照《中华人民共和国合同法》有关条款执行。</w:t>
      </w:r>
    </w:p>
    <w:p w14:paraId="03EA6469">
      <w:pPr>
        <w:keepNext w:val="0"/>
        <w:keepLines w:val="0"/>
        <w:pageBreakBefore w:val="0"/>
        <w:widowControl w:val="0"/>
        <w:kinsoku/>
        <w:wordWrap w:val="0"/>
        <w:overflowPunct/>
        <w:topLinePunct/>
        <w:autoSpaceDE/>
        <w:autoSpaceDN/>
        <w:bidi w:val="0"/>
        <w:spacing w:line="360" w:lineRule="auto"/>
        <w:rPr>
          <w:rFonts w:ascii="宋体" w:hAnsi="宋体" w:cs="宋体"/>
          <w:sz w:val="24"/>
          <w:highlight w:val="none"/>
        </w:rPr>
      </w:pPr>
    </w:p>
    <w:p w14:paraId="3B318A17">
      <w:pPr>
        <w:keepNext w:val="0"/>
        <w:keepLines w:val="0"/>
        <w:pageBreakBefore w:val="0"/>
        <w:widowControl w:val="0"/>
        <w:kinsoku/>
        <w:wordWrap w:val="0"/>
        <w:overflowPunct/>
        <w:topLinePunct/>
        <w:autoSpaceDE/>
        <w:autoSpaceDN/>
        <w:bidi w:val="0"/>
        <w:spacing w:line="360" w:lineRule="auto"/>
        <w:rPr>
          <w:rFonts w:ascii="宋体" w:hAnsi="宋体" w:cs="宋体"/>
          <w:sz w:val="24"/>
          <w:highlight w:val="none"/>
        </w:rPr>
      </w:pPr>
    </w:p>
    <w:p w14:paraId="5AE4CE5C">
      <w:pPr>
        <w:keepNext w:val="0"/>
        <w:keepLines w:val="0"/>
        <w:pageBreakBefore w:val="0"/>
        <w:widowControl w:val="0"/>
        <w:kinsoku/>
        <w:wordWrap w:val="0"/>
        <w:overflowPunct/>
        <w:topLinePunct/>
        <w:autoSpaceDE/>
        <w:autoSpaceDN/>
        <w:bidi w:val="0"/>
        <w:spacing w:line="360" w:lineRule="auto"/>
        <w:rPr>
          <w:rFonts w:ascii="宋体" w:hAnsi="宋体" w:cs="宋体"/>
          <w:sz w:val="24"/>
          <w:highlight w:val="none"/>
        </w:rPr>
      </w:pPr>
      <w:r>
        <w:rPr>
          <w:rFonts w:hint="eastAsia" w:ascii="宋体" w:hAnsi="宋体" w:cs="宋体"/>
          <w:sz w:val="24"/>
          <w:highlight w:val="none"/>
        </w:rPr>
        <w:t xml:space="preserve">甲方（盖章）：                         乙方（盖章）：                   </w:t>
      </w:r>
    </w:p>
    <w:p w14:paraId="6735C35A">
      <w:pPr>
        <w:keepNext w:val="0"/>
        <w:keepLines w:val="0"/>
        <w:pageBreakBefore w:val="0"/>
        <w:widowControl w:val="0"/>
        <w:kinsoku/>
        <w:wordWrap w:val="0"/>
        <w:overflowPunct/>
        <w:topLinePunct/>
        <w:autoSpaceDE/>
        <w:autoSpaceDN/>
        <w:bidi w:val="0"/>
        <w:spacing w:line="360" w:lineRule="auto"/>
        <w:rPr>
          <w:sz w:val="24"/>
          <w:highlight w:val="none"/>
        </w:rPr>
      </w:pPr>
      <w:r>
        <w:rPr>
          <w:rFonts w:hint="eastAsia"/>
          <w:sz w:val="24"/>
          <w:highlight w:val="none"/>
        </w:rPr>
        <w:t>法定代表人（签字）：                   法定代表人（签字）：</w:t>
      </w:r>
    </w:p>
    <w:p w14:paraId="625233E5">
      <w:pPr>
        <w:keepNext w:val="0"/>
        <w:keepLines w:val="0"/>
        <w:pageBreakBefore w:val="0"/>
        <w:widowControl w:val="0"/>
        <w:kinsoku/>
        <w:wordWrap w:val="0"/>
        <w:overflowPunct/>
        <w:topLinePunct/>
        <w:autoSpaceDE/>
        <w:autoSpaceDN/>
        <w:bidi w:val="0"/>
        <w:spacing w:line="360" w:lineRule="auto"/>
        <w:rPr>
          <w:sz w:val="24"/>
          <w:highlight w:val="none"/>
        </w:rPr>
      </w:pPr>
      <w:r>
        <w:rPr>
          <w:rFonts w:hint="eastAsia"/>
          <w:sz w:val="24"/>
          <w:highlight w:val="none"/>
        </w:rPr>
        <w:t>委托代理人（签字）：                   委托代理人（签字）：</w:t>
      </w:r>
    </w:p>
    <w:p w14:paraId="142A6774">
      <w:pPr>
        <w:keepNext w:val="0"/>
        <w:keepLines w:val="0"/>
        <w:pageBreakBefore w:val="0"/>
        <w:widowControl w:val="0"/>
        <w:kinsoku/>
        <w:wordWrap w:val="0"/>
        <w:overflowPunct/>
        <w:topLinePunct/>
        <w:autoSpaceDE/>
        <w:autoSpaceDN/>
        <w:bidi w:val="0"/>
        <w:spacing w:line="360" w:lineRule="auto"/>
        <w:rPr>
          <w:sz w:val="24"/>
          <w:highlight w:val="none"/>
        </w:rPr>
      </w:pPr>
      <w:r>
        <w:rPr>
          <w:rFonts w:hint="eastAsia"/>
          <w:sz w:val="24"/>
          <w:highlight w:val="none"/>
        </w:rPr>
        <w:t>签订日期：                             签订日期：</w:t>
      </w:r>
    </w:p>
    <w:p w14:paraId="76821911">
      <w:pPr>
        <w:keepNext w:val="0"/>
        <w:keepLines w:val="0"/>
        <w:pageBreakBefore w:val="0"/>
        <w:widowControl w:val="0"/>
        <w:kinsoku/>
        <w:wordWrap w:val="0"/>
        <w:overflowPunct/>
        <w:topLinePunct/>
        <w:autoSpaceDE/>
        <w:autoSpaceDN/>
        <w:bidi w:val="0"/>
        <w:spacing w:line="360" w:lineRule="auto"/>
        <w:rPr>
          <w:rFonts w:hint="eastAsia" w:eastAsia="宋体"/>
          <w:sz w:val="24"/>
          <w:highlight w:val="none"/>
          <w:lang w:val="en-US" w:eastAsia="zh-CN"/>
        </w:rPr>
      </w:pPr>
      <w:r>
        <w:rPr>
          <w:rFonts w:hint="eastAsia"/>
          <w:sz w:val="24"/>
          <w:highlight w:val="none"/>
        </w:rPr>
        <w:t>签订地点：</w:t>
      </w:r>
      <w:r>
        <w:rPr>
          <w:rFonts w:hint="eastAsia"/>
          <w:sz w:val="24"/>
          <w:highlight w:val="none"/>
          <w:lang w:val="en-US" w:eastAsia="zh-CN"/>
        </w:rPr>
        <w:t>沁阳市</w:t>
      </w:r>
      <w:r>
        <w:rPr>
          <w:rFonts w:hint="eastAsia"/>
          <w:sz w:val="24"/>
          <w:highlight w:val="none"/>
        </w:rPr>
        <w:t xml:space="preserve">                   </w:t>
      </w:r>
      <w:r>
        <w:rPr>
          <w:rFonts w:hint="eastAsia"/>
          <w:sz w:val="24"/>
          <w:highlight w:val="none"/>
          <w:lang w:val="en-US" w:eastAsia="zh-CN"/>
        </w:rPr>
        <w:t xml:space="preserve">    </w:t>
      </w:r>
      <w:r>
        <w:rPr>
          <w:rFonts w:hint="eastAsia"/>
          <w:sz w:val="24"/>
          <w:highlight w:val="none"/>
        </w:rPr>
        <w:t>签订地点：</w:t>
      </w:r>
      <w:r>
        <w:rPr>
          <w:rFonts w:hint="eastAsia"/>
          <w:sz w:val="24"/>
          <w:highlight w:val="none"/>
          <w:lang w:val="en-US" w:eastAsia="zh-CN"/>
        </w:rPr>
        <w:t>沁阳市</w:t>
      </w:r>
    </w:p>
    <w:p w14:paraId="76EC3EEF">
      <w:pPr>
        <w:keepNext w:val="0"/>
        <w:keepLines w:val="0"/>
        <w:pageBreakBefore w:val="0"/>
        <w:widowControl w:val="0"/>
        <w:kinsoku/>
        <w:wordWrap w:val="0"/>
        <w:overflowPunct/>
        <w:topLinePunct/>
        <w:autoSpaceDE/>
        <w:autoSpaceDN/>
        <w:bidi w:val="0"/>
        <w:spacing w:line="360" w:lineRule="auto"/>
        <w:ind w:firstLine="560"/>
        <w:rPr>
          <w:rFonts w:ascii="仿宋_GB2312" w:hAnsi="等线"/>
          <w:sz w:val="28"/>
          <w:szCs w:val="28"/>
          <w:highlight w:val="none"/>
        </w:rPr>
      </w:pPr>
    </w:p>
    <w:p w14:paraId="64BA03DB">
      <w:pPr>
        <w:pStyle w:val="39"/>
        <w:keepNext w:val="0"/>
        <w:keepLines w:val="0"/>
        <w:pageBreakBefore w:val="0"/>
        <w:widowControl w:val="0"/>
        <w:kinsoku/>
        <w:wordWrap w:val="0"/>
        <w:overflowPunct/>
        <w:topLinePunct/>
        <w:autoSpaceDE/>
        <w:autoSpaceDN/>
        <w:bidi w:val="0"/>
        <w:rPr>
          <w:rFonts w:ascii="仿宋_GB2312" w:hAnsi="等线"/>
          <w:sz w:val="28"/>
          <w:szCs w:val="28"/>
          <w:highlight w:val="none"/>
        </w:rPr>
      </w:pPr>
    </w:p>
    <w:p w14:paraId="1BFC4E4A">
      <w:pPr>
        <w:keepNext w:val="0"/>
        <w:keepLines w:val="0"/>
        <w:pageBreakBefore w:val="0"/>
        <w:widowControl w:val="0"/>
        <w:kinsoku/>
        <w:wordWrap w:val="0"/>
        <w:overflowPunct/>
        <w:topLinePunct/>
        <w:autoSpaceDE/>
        <w:autoSpaceDN/>
        <w:bidi w:val="0"/>
        <w:rPr>
          <w:highlight w:val="none"/>
        </w:rPr>
      </w:pPr>
    </w:p>
    <w:p w14:paraId="5E11BBD7">
      <w:pPr>
        <w:keepNext w:val="0"/>
        <w:keepLines w:val="0"/>
        <w:pageBreakBefore w:val="0"/>
        <w:widowControl w:val="0"/>
        <w:kinsoku/>
        <w:wordWrap w:val="0"/>
        <w:overflowPunct/>
        <w:topLinePunct/>
        <w:autoSpaceDE/>
        <w:autoSpaceDN/>
        <w:bidi w:val="0"/>
        <w:spacing w:line="360" w:lineRule="auto"/>
        <w:ind w:firstLine="420"/>
        <w:rPr>
          <w:rFonts w:ascii="宋体" w:hAnsi="宋体" w:eastAsia="等线"/>
          <w:b/>
          <w:szCs w:val="21"/>
          <w:highlight w:val="none"/>
        </w:rPr>
      </w:pPr>
      <w:r>
        <w:rPr>
          <w:rFonts w:hint="eastAsia" w:ascii="宋体" w:hAnsi="宋体" w:eastAsia="等线"/>
          <w:b/>
          <w:szCs w:val="21"/>
          <w:highlight w:val="none"/>
        </w:rPr>
        <w:t>特别说明：</w:t>
      </w:r>
    </w:p>
    <w:p w14:paraId="2CA6D05D">
      <w:pPr>
        <w:keepNext w:val="0"/>
        <w:keepLines w:val="0"/>
        <w:pageBreakBefore w:val="0"/>
        <w:widowControl w:val="0"/>
        <w:kinsoku/>
        <w:wordWrap w:val="0"/>
        <w:overflowPunct/>
        <w:topLinePunct/>
        <w:autoSpaceDE/>
        <w:autoSpaceDN/>
        <w:bidi w:val="0"/>
        <w:spacing w:line="360" w:lineRule="auto"/>
        <w:ind w:firstLine="420"/>
        <w:rPr>
          <w:rFonts w:ascii="等线" w:hAnsi="等线"/>
          <w:highlight w:val="none"/>
        </w:rPr>
      </w:pPr>
      <w:r>
        <w:rPr>
          <w:rFonts w:hint="eastAsia" w:ascii="宋体" w:hAnsi="宋体" w:eastAsia="等线"/>
          <w:b/>
          <w:szCs w:val="21"/>
          <w:highlight w:val="none"/>
        </w:rPr>
        <w:t>1. 除涉密项目外，根据《政府采购法实施条例》第50条规定：采购人应当自政府采购合同签订之日起2个工作日内，将政府采购合同在省级以上人民政府财政部门指定的媒体上公告。</w:t>
      </w:r>
    </w:p>
    <w:p w14:paraId="3B415CDF">
      <w:pPr>
        <w:pStyle w:val="15"/>
        <w:spacing w:line="440" w:lineRule="exact"/>
        <w:rPr>
          <w:sz w:val="21"/>
          <w:szCs w:val="21"/>
          <w:highlight w:val="none"/>
        </w:rPr>
      </w:pPr>
    </w:p>
    <w:p w14:paraId="73495155">
      <w:pPr>
        <w:pStyle w:val="11"/>
        <w:rPr>
          <w:rFonts w:hint="eastAsia"/>
          <w:color w:val="auto"/>
          <w:highlight w:val="none"/>
          <w:lang w:val="en-US" w:eastAsia="zh-CN"/>
        </w:rPr>
      </w:pPr>
    </w:p>
    <w:p w14:paraId="5C978925">
      <w:pPr>
        <w:pStyle w:val="24"/>
        <w:spacing w:before="0" w:beforeAutospacing="0" w:after="0" w:afterAutospacing="0" w:line="400" w:lineRule="exact"/>
        <w:ind w:firstLine="480"/>
        <w:rPr>
          <w:rFonts w:hint="eastAsia" w:eastAsia="宋体" w:cs="宋体"/>
          <w:spacing w:val="8"/>
          <w:sz w:val="21"/>
          <w:szCs w:val="21"/>
          <w:highlight w:val="none"/>
          <w:u w:val="single"/>
          <w:shd w:val="clear" w:color="auto" w:fill="FFFFFF"/>
        </w:rPr>
      </w:pPr>
    </w:p>
    <w:p w14:paraId="68100206">
      <w:pPr>
        <w:rPr>
          <w:rFonts w:hint="eastAsia" w:eastAsia="宋体" w:cs="宋体"/>
          <w:spacing w:val="8"/>
          <w:sz w:val="21"/>
          <w:szCs w:val="21"/>
          <w:highlight w:val="none"/>
          <w:u w:val="single"/>
          <w:shd w:val="clear" w:color="auto" w:fill="FFFFFF"/>
        </w:rPr>
      </w:pPr>
    </w:p>
    <w:sectPr>
      <w:headerReference r:id="rId12" w:type="default"/>
      <w:footerReference r:id="rId13" w:type="default"/>
      <w:pgSz w:w="11906" w:h="16838"/>
      <w:pgMar w:top="1440" w:right="1066" w:bottom="1440" w:left="13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䅂䍄䕅⯋컌">
    <w:altName w:val="Segoe Print"/>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951A6">
    <w:pPr>
      <w:pStyle w:val="16"/>
      <w:tabs>
        <w:tab w:val="left" w:pos="5359"/>
        <w:tab w:val="clear" w:pos="4153"/>
      </w:tabs>
      <w:rPr>
        <w:rFonts w:hint="eastAsia"/>
        <w:lang w:eastAsia="zh-CN"/>
      </w:rPr>
    </w:pPr>
    <w:r>
      <w:rPr>
        <w:rFonts w:hint="eastAsia"/>
        <w:lang w:eastAsia="zh-CN"/>
      </w:rPr>
      <w:tab/>
    </w:r>
  </w:p>
  <w:p w14:paraId="6F857FB2">
    <w:pPr>
      <w:pStyle w:val="16"/>
      <w:tabs>
        <w:tab w:val="left" w:pos="5359"/>
        <w:tab w:val="clear" w:pos="4153"/>
      </w:tabs>
      <w:rPr>
        <w:rFonts w:hint="eastAsia"/>
        <w:lang w:eastAsia="zh-CN"/>
      </w:rPr>
    </w:pPr>
  </w:p>
  <w:p w14:paraId="7A9C3D5A">
    <w:pPr>
      <w:pStyle w:val="16"/>
      <w:tabs>
        <w:tab w:val="left" w:pos="5359"/>
        <w:tab w:val="clear" w:pos="4153"/>
      </w:tabs>
      <w:rPr>
        <w:rFonts w:hint="eastAsia"/>
        <w:lang w:eastAsia="zh-CN"/>
      </w:rPr>
    </w:pPr>
  </w:p>
  <w:p w14:paraId="13F19421">
    <w:pPr>
      <w:pStyle w:val="16"/>
      <w:tabs>
        <w:tab w:val="left" w:pos="5359"/>
        <w:tab w:val="clear" w:pos="4153"/>
      </w:tabs>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FEAD8">
    <w:pPr>
      <w:pStyle w:val="16"/>
      <w:tabs>
        <w:tab w:val="center" w:pos="4703"/>
        <w:tab w:val="clear" w:pos="4153"/>
      </w:tabs>
      <w:rPr>
        <w:rFonts w:ascii="宋体" w:hAnsi="宋体" w:eastAsia="宋体" w:cs="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2146D">
                          <w:pPr>
                            <w:pStyle w:val="16"/>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22146D">
                    <w:pPr>
                      <w:pStyle w:val="16"/>
                      <w:rPr>
                        <w:rFonts w:hint="eastAsia" w:eastAsiaTheme="minor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3FBCA">
    <w:pPr>
      <w:pStyle w:val="16"/>
      <w:tabs>
        <w:tab w:val="center" w:pos="4703"/>
        <w:tab w:val="clear" w:pos="4153"/>
      </w:tabs>
      <w:rPr>
        <w:rFonts w:ascii="宋体" w:hAnsi="宋体" w:eastAsia="宋体" w:cs="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B7742">
                          <w:pPr>
                            <w:pStyle w:val="16"/>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27B7742">
                    <w:pPr>
                      <w:pStyle w:val="16"/>
                      <w:rPr>
                        <w:rFonts w:hint="eastAsia" w:eastAsiaTheme="minorEastAsia"/>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16C66">
    <w:pPr>
      <w:pStyle w:val="16"/>
      <w:tabs>
        <w:tab w:val="center" w:pos="4703"/>
        <w:tab w:val="clear" w:pos="4153"/>
      </w:tabs>
      <w:rPr>
        <w:rFonts w:ascii="宋体" w:hAnsi="宋体" w:eastAsia="宋体" w:cs="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2BE6">
                          <w:pPr>
                            <w:pStyle w:val="16"/>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D0B2BE6">
                    <w:pPr>
                      <w:pStyle w:val="16"/>
                      <w:rPr>
                        <w:rFonts w:hint="eastAsia" w:eastAsiaTheme="minorEastAsia"/>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92C0D">
    <w:pPr>
      <w:pStyle w:val="16"/>
      <w:tabs>
        <w:tab w:val="center" w:pos="4703"/>
        <w:tab w:val="clear" w:pos="4153"/>
      </w:tabs>
      <w:rPr>
        <w:rFonts w:ascii="宋体" w:hAnsi="宋体" w:eastAsia="宋体" w:cs="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6812D">
                          <w:pPr>
                            <w:pStyle w:val="16"/>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F16812D">
                    <w:pPr>
                      <w:pStyle w:val="16"/>
                      <w:rPr>
                        <w:rFonts w:hint="eastAsia" w:eastAsiaTheme="minorEastAsia"/>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9BE17">
    <w:pPr>
      <w:pStyle w:val="16"/>
      <w:tabs>
        <w:tab w:val="center" w:pos="4703"/>
        <w:tab w:val="clear" w:pos="4153"/>
      </w:tabs>
      <w:rPr>
        <w:rFonts w:hint="eastAsia" w:ascii="宋体" w:hAnsi="宋体" w:eastAsia="宋体" w:cs="宋体"/>
      </w:rPr>
    </w:pP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C96C6">
    <w:pPr>
      <w:pStyle w:val="16"/>
      <w:tabs>
        <w:tab w:val="center" w:pos="4703"/>
        <w:tab w:val="clear" w:pos="4153"/>
      </w:tabs>
      <w:rPr>
        <w:rFonts w:hint="eastAsia" w:ascii="宋体" w:hAnsi="宋体" w:eastAsia="宋体" w:cs="宋体"/>
      </w:rPr>
    </w:pP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BE21F">
    <w:pPr>
      <w:pStyle w:val="9"/>
      <w:spacing w:line="209" w:lineRule="auto"/>
      <w:ind w:left="4400"/>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1861F">
                          <w:pPr>
                            <w:pStyle w:val="16"/>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41861F">
                    <w:pPr>
                      <w:pStyle w:val="16"/>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917D">
    <w:pPr>
      <w:pStyle w:val="16"/>
      <w:tabs>
        <w:tab w:val="center" w:pos="4703"/>
        <w:tab w:val="center" w:pos="4986"/>
        <w:tab w:val="clear" w:pos="4153"/>
        <w:tab w:val="clear" w:pos="8306"/>
      </w:tabs>
      <w:rPr>
        <w:rFonts w:hint="eastAsia" w:ascii="宋体" w:hAnsi="宋体" w:cs="宋体" w:eastAsiaTheme="minorEastAsia"/>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8FB39">
                          <w:pPr>
                            <w:pStyle w:val="16"/>
                          </w:pPr>
                          <w: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7E8FB39">
                    <w:pPr>
                      <w:pStyle w:val="16"/>
                    </w:pPr>
                    <w: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D5779">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1426">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singleLevel"/>
    <w:tmpl w:val="0000000F"/>
    <w:lvl w:ilvl="0" w:tentative="0">
      <w:start w:val="12"/>
      <w:numFmt w:val="chineseCounting"/>
      <w:suff w:val="nothing"/>
      <w:lvlText w:val="%1、"/>
      <w:lvlJc w:val="left"/>
      <w:rPr>
        <w:rFonts w:hint="eastAsia"/>
      </w:rPr>
    </w:lvl>
  </w:abstractNum>
  <w:abstractNum w:abstractNumId="1">
    <w:nsid w:val="4E29C209"/>
    <w:multiLevelType w:val="singleLevel"/>
    <w:tmpl w:val="4E29C209"/>
    <w:lvl w:ilvl="0" w:tentative="0">
      <w:start w:val="7"/>
      <w:numFmt w:val="chineseCounting"/>
      <w:suff w:val="nothing"/>
      <w:lvlText w:val="%1、"/>
      <w:lvlJc w:val="left"/>
      <w:rPr>
        <w:rFonts w:hint="eastAsia"/>
      </w:rPr>
    </w:lvl>
  </w:abstractNum>
  <w:abstractNum w:abstractNumId="2">
    <w:nsid w:val="630DCFC6"/>
    <w:multiLevelType w:val="singleLevel"/>
    <w:tmpl w:val="630DCFC6"/>
    <w:lvl w:ilvl="0" w:tentative="0">
      <w:start w:val="14"/>
      <w:numFmt w:val="chineseCounting"/>
      <w:suff w:val="nothing"/>
      <w:lvlText w:val="%1、"/>
      <w:lvlJc w:val="left"/>
    </w:lvl>
  </w:abstractNum>
  <w:abstractNum w:abstractNumId="3">
    <w:nsid w:val="6CE3D7FC"/>
    <w:multiLevelType w:val="singleLevel"/>
    <w:tmpl w:val="6CE3D7FC"/>
    <w:lvl w:ilvl="0" w:tentative="0">
      <w:start w:val="1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NzNmZjgxYjcwYzE2MTdmZWY3OGFjZjA2ZTYzNjgifQ=="/>
  </w:docVars>
  <w:rsids>
    <w:rsidRoot w:val="00172A27"/>
    <w:rsid w:val="00002359"/>
    <w:rsid w:val="0004736D"/>
    <w:rsid w:val="00060467"/>
    <w:rsid w:val="001F2CAD"/>
    <w:rsid w:val="00294421"/>
    <w:rsid w:val="003364C0"/>
    <w:rsid w:val="00456ACC"/>
    <w:rsid w:val="006D7E85"/>
    <w:rsid w:val="006F216B"/>
    <w:rsid w:val="00754EF2"/>
    <w:rsid w:val="00805D45"/>
    <w:rsid w:val="008466C8"/>
    <w:rsid w:val="00853103"/>
    <w:rsid w:val="008F329A"/>
    <w:rsid w:val="00903C8F"/>
    <w:rsid w:val="009B35B7"/>
    <w:rsid w:val="00AE7FA5"/>
    <w:rsid w:val="00B91394"/>
    <w:rsid w:val="00BA783F"/>
    <w:rsid w:val="00D71860"/>
    <w:rsid w:val="00EE4C43"/>
    <w:rsid w:val="014F6641"/>
    <w:rsid w:val="015B4120"/>
    <w:rsid w:val="01675B7A"/>
    <w:rsid w:val="01A4497F"/>
    <w:rsid w:val="01CA4179"/>
    <w:rsid w:val="0233363E"/>
    <w:rsid w:val="02E05BCE"/>
    <w:rsid w:val="02EC110A"/>
    <w:rsid w:val="02F95561"/>
    <w:rsid w:val="03A3393E"/>
    <w:rsid w:val="040462B9"/>
    <w:rsid w:val="041076C9"/>
    <w:rsid w:val="04640655"/>
    <w:rsid w:val="04695536"/>
    <w:rsid w:val="04B05649"/>
    <w:rsid w:val="056B0DEB"/>
    <w:rsid w:val="05AE238A"/>
    <w:rsid w:val="05F2370F"/>
    <w:rsid w:val="062F3CC1"/>
    <w:rsid w:val="066511FF"/>
    <w:rsid w:val="06BA0991"/>
    <w:rsid w:val="06BE7666"/>
    <w:rsid w:val="06CB0518"/>
    <w:rsid w:val="06DF2215"/>
    <w:rsid w:val="06E60E7A"/>
    <w:rsid w:val="070F5FF5"/>
    <w:rsid w:val="071E5187"/>
    <w:rsid w:val="0741116F"/>
    <w:rsid w:val="075776EE"/>
    <w:rsid w:val="0774295E"/>
    <w:rsid w:val="08053EFD"/>
    <w:rsid w:val="0808754A"/>
    <w:rsid w:val="08321B80"/>
    <w:rsid w:val="084464B2"/>
    <w:rsid w:val="08975DD0"/>
    <w:rsid w:val="08AD3BF8"/>
    <w:rsid w:val="09573394"/>
    <w:rsid w:val="098A5A06"/>
    <w:rsid w:val="09945C89"/>
    <w:rsid w:val="09970BF7"/>
    <w:rsid w:val="0A282397"/>
    <w:rsid w:val="0A2A0E36"/>
    <w:rsid w:val="0A2E5EA4"/>
    <w:rsid w:val="0A3368FF"/>
    <w:rsid w:val="0A815C81"/>
    <w:rsid w:val="0AD876A7"/>
    <w:rsid w:val="0ADD1E4D"/>
    <w:rsid w:val="0B033FA3"/>
    <w:rsid w:val="0B670A20"/>
    <w:rsid w:val="0BEA7692"/>
    <w:rsid w:val="0BF17EBE"/>
    <w:rsid w:val="0C153782"/>
    <w:rsid w:val="0CD76565"/>
    <w:rsid w:val="0D505C1B"/>
    <w:rsid w:val="0DBC6BBE"/>
    <w:rsid w:val="0DC17CE6"/>
    <w:rsid w:val="0E050F46"/>
    <w:rsid w:val="0E19335D"/>
    <w:rsid w:val="0E4226D9"/>
    <w:rsid w:val="0E7D4534"/>
    <w:rsid w:val="0EB560BF"/>
    <w:rsid w:val="0ECE5086"/>
    <w:rsid w:val="0EF2499A"/>
    <w:rsid w:val="0F122E06"/>
    <w:rsid w:val="0F9A73B4"/>
    <w:rsid w:val="10166355"/>
    <w:rsid w:val="102E4792"/>
    <w:rsid w:val="11163C41"/>
    <w:rsid w:val="112C24FB"/>
    <w:rsid w:val="11515ABE"/>
    <w:rsid w:val="115E39F7"/>
    <w:rsid w:val="1167241B"/>
    <w:rsid w:val="11AC1B89"/>
    <w:rsid w:val="11D9245D"/>
    <w:rsid w:val="11EC7F84"/>
    <w:rsid w:val="11F0177A"/>
    <w:rsid w:val="12770E65"/>
    <w:rsid w:val="1278178F"/>
    <w:rsid w:val="127E256D"/>
    <w:rsid w:val="129A3494"/>
    <w:rsid w:val="129E6970"/>
    <w:rsid w:val="12AA7B7B"/>
    <w:rsid w:val="12C654CB"/>
    <w:rsid w:val="12F162F8"/>
    <w:rsid w:val="134C2F58"/>
    <w:rsid w:val="139B1AEC"/>
    <w:rsid w:val="139E2A07"/>
    <w:rsid w:val="13B50586"/>
    <w:rsid w:val="141718F9"/>
    <w:rsid w:val="14180802"/>
    <w:rsid w:val="14413073"/>
    <w:rsid w:val="14665D24"/>
    <w:rsid w:val="14F75630"/>
    <w:rsid w:val="1546345F"/>
    <w:rsid w:val="1559475A"/>
    <w:rsid w:val="15665F62"/>
    <w:rsid w:val="15834B5D"/>
    <w:rsid w:val="15DA6493"/>
    <w:rsid w:val="16BC340F"/>
    <w:rsid w:val="16C45512"/>
    <w:rsid w:val="16C94348"/>
    <w:rsid w:val="17167B68"/>
    <w:rsid w:val="173A7841"/>
    <w:rsid w:val="175A6EF6"/>
    <w:rsid w:val="17884958"/>
    <w:rsid w:val="17B1375A"/>
    <w:rsid w:val="17CF37B2"/>
    <w:rsid w:val="17E175E6"/>
    <w:rsid w:val="185B023F"/>
    <w:rsid w:val="186A51E6"/>
    <w:rsid w:val="18BE78CE"/>
    <w:rsid w:val="18DB670B"/>
    <w:rsid w:val="18E436BB"/>
    <w:rsid w:val="18EA7C00"/>
    <w:rsid w:val="18EC00AE"/>
    <w:rsid w:val="18FE6CC9"/>
    <w:rsid w:val="19451C60"/>
    <w:rsid w:val="194D300E"/>
    <w:rsid w:val="198058D1"/>
    <w:rsid w:val="19856F69"/>
    <w:rsid w:val="19D16505"/>
    <w:rsid w:val="1A2024D1"/>
    <w:rsid w:val="1A6A40A3"/>
    <w:rsid w:val="1A976502"/>
    <w:rsid w:val="1AAC1C28"/>
    <w:rsid w:val="1AB07545"/>
    <w:rsid w:val="1AEB0D31"/>
    <w:rsid w:val="1B0E2C71"/>
    <w:rsid w:val="1B2E6E70"/>
    <w:rsid w:val="1B9A4FBB"/>
    <w:rsid w:val="1BA50AB2"/>
    <w:rsid w:val="1BE439EA"/>
    <w:rsid w:val="1C0F631E"/>
    <w:rsid w:val="1C2C2B69"/>
    <w:rsid w:val="1C35495A"/>
    <w:rsid w:val="1C404397"/>
    <w:rsid w:val="1C4A3B91"/>
    <w:rsid w:val="1D397A67"/>
    <w:rsid w:val="1D5848EB"/>
    <w:rsid w:val="1D5D691E"/>
    <w:rsid w:val="1D670901"/>
    <w:rsid w:val="1D6915C5"/>
    <w:rsid w:val="1D7C7EA6"/>
    <w:rsid w:val="1D8A3543"/>
    <w:rsid w:val="1DBE1164"/>
    <w:rsid w:val="1DF35BF5"/>
    <w:rsid w:val="1E26534E"/>
    <w:rsid w:val="1E2D245F"/>
    <w:rsid w:val="1E492700"/>
    <w:rsid w:val="1E4E0A47"/>
    <w:rsid w:val="1E674B72"/>
    <w:rsid w:val="1EB064F0"/>
    <w:rsid w:val="1FB97650"/>
    <w:rsid w:val="1FC60652"/>
    <w:rsid w:val="1FFA588A"/>
    <w:rsid w:val="201D443F"/>
    <w:rsid w:val="206D5C10"/>
    <w:rsid w:val="21244BAE"/>
    <w:rsid w:val="21283A7D"/>
    <w:rsid w:val="2166546F"/>
    <w:rsid w:val="2191004C"/>
    <w:rsid w:val="21E551F8"/>
    <w:rsid w:val="2239260C"/>
    <w:rsid w:val="22CA2AF7"/>
    <w:rsid w:val="22CC31F6"/>
    <w:rsid w:val="235A24A7"/>
    <w:rsid w:val="235F22BC"/>
    <w:rsid w:val="236C49D9"/>
    <w:rsid w:val="23BA53D2"/>
    <w:rsid w:val="23E726EC"/>
    <w:rsid w:val="23EF0B83"/>
    <w:rsid w:val="23F06728"/>
    <w:rsid w:val="240358C2"/>
    <w:rsid w:val="24450847"/>
    <w:rsid w:val="24E264D0"/>
    <w:rsid w:val="2533798C"/>
    <w:rsid w:val="258D7005"/>
    <w:rsid w:val="25CC376B"/>
    <w:rsid w:val="261005DB"/>
    <w:rsid w:val="2626274A"/>
    <w:rsid w:val="2652435A"/>
    <w:rsid w:val="26590961"/>
    <w:rsid w:val="265F25D3"/>
    <w:rsid w:val="268D3166"/>
    <w:rsid w:val="26B62640"/>
    <w:rsid w:val="26BA499E"/>
    <w:rsid w:val="26C64400"/>
    <w:rsid w:val="26D134D1"/>
    <w:rsid w:val="26DE11D7"/>
    <w:rsid w:val="2718750C"/>
    <w:rsid w:val="27257379"/>
    <w:rsid w:val="273026F9"/>
    <w:rsid w:val="278C2B2D"/>
    <w:rsid w:val="27A02BBC"/>
    <w:rsid w:val="27E30F26"/>
    <w:rsid w:val="282671F4"/>
    <w:rsid w:val="28407DF9"/>
    <w:rsid w:val="285A5811"/>
    <w:rsid w:val="286C1311"/>
    <w:rsid w:val="287841EC"/>
    <w:rsid w:val="288F1208"/>
    <w:rsid w:val="289D6530"/>
    <w:rsid w:val="28B41C5C"/>
    <w:rsid w:val="298A3E0B"/>
    <w:rsid w:val="29D5159E"/>
    <w:rsid w:val="2A495A74"/>
    <w:rsid w:val="2A5D7CE8"/>
    <w:rsid w:val="2A5E5F3D"/>
    <w:rsid w:val="2AF05C7B"/>
    <w:rsid w:val="2B0A6F2E"/>
    <w:rsid w:val="2B0F281A"/>
    <w:rsid w:val="2B166318"/>
    <w:rsid w:val="2B563D23"/>
    <w:rsid w:val="2BC632D1"/>
    <w:rsid w:val="2CD35375"/>
    <w:rsid w:val="2CEB13B9"/>
    <w:rsid w:val="2D0E5FAF"/>
    <w:rsid w:val="2D822373"/>
    <w:rsid w:val="2D880306"/>
    <w:rsid w:val="2DB41456"/>
    <w:rsid w:val="2DC23B73"/>
    <w:rsid w:val="2E195C1F"/>
    <w:rsid w:val="2E354D2E"/>
    <w:rsid w:val="2E417D1E"/>
    <w:rsid w:val="2E557A34"/>
    <w:rsid w:val="2E960B5C"/>
    <w:rsid w:val="2EF01165"/>
    <w:rsid w:val="2EFB1727"/>
    <w:rsid w:val="2F687697"/>
    <w:rsid w:val="2F7009B4"/>
    <w:rsid w:val="2F7A70D1"/>
    <w:rsid w:val="2F907174"/>
    <w:rsid w:val="2FF9238E"/>
    <w:rsid w:val="2FFD79D3"/>
    <w:rsid w:val="305D3C70"/>
    <w:rsid w:val="30710A3E"/>
    <w:rsid w:val="30824111"/>
    <w:rsid w:val="30A13F14"/>
    <w:rsid w:val="30A766B2"/>
    <w:rsid w:val="30BD292F"/>
    <w:rsid w:val="312D1D04"/>
    <w:rsid w:val="317B7701"/>
    <w:rsid w:val="31D31DEF"/>
    <w:rsid w:val="320C7AB3"/>
    <w:rsid w:val="323B6EE7"/>
    <w:rsid w:val="325266D3"/>
    <w:rsid w:val="328D75CB"/>
    <w:rsid w:val="32BB1767"/>
    <w:rsid w:val="33105FD3"/>
    <w:rsid w:val="33A54627"/>
    <w:rsid w:val="33D44600"/>
    <w:rsid w:val="340069DC"/>
    <w:rsid w:val="3437683B"/>
    <w:rsid w:val="345370D0"/>
    <w:rsid w:val="346911EC"/>
    <w:rsid w:val="34A71FE6"/>
    <w:rsid w:val="34FD534F"/>
    <w:rsid w:val="35406A94"/>
    <w:rsid w:val="3548698D"/>
    <w:rsid w:val="3572263D"/>
    <w:rsid w:val="35A228C6"/>
    <w:rsid w:val="35AF791C"/>
    <w:rsid w:val="3629779F"/>
    <w:rsid w:val="36297806"/>
    <w:rsid w:val="36763368"/>
    <w:rsid w:val="369462C9"/>
    <w:rsid w:val="36A7782E"/>
    <w:rsid w:val="36B129D7"/>
    <w:rsid w:val="36BC7931"/>
    <w:rsid w:val="36CE5337"/>
    <w:rsid w:val="3708735A"/>
    <w:rsid w:val="377D6CFE"/>
    <w:rsid w:val="37E90803"/>
    <w:rsid w:val="38245138"/>
    <w:rsid w:val="3828316D"/>
    <w:rsid w:val="385A4DAF"/>
    <w:rsid w:val="3880526B"/>
    <w:rsid w:val="38F46638"/>
    <w:rsid w:val="3982065B"/>
    <w:rsid w:val="39873EC3"/>
    <w:rsid w:val="39B051C8"/>
    <w:rsid w:val="39E56295"/>
    <w:rsid w:val="3A2C4F76"/>
    <w:rsid w:val="3A797CAF"/>
    <w:rsid w:val="3A982DF7"/>
    <w:rsid w:val="3AA7481D"/>
    <w:rsid w:val="3AC81275"/>
    <w:rsid w:val="3AE113B1"/>
    <w:rsid w:val="3AFA36C2"/>
    <w:rsid w:val="3B5322AF"/>
    <w:rsid w:val="3B8D6070"/>
    <w:rsid w:val="3BEB698B"/>
    <w:rsid w:val="3C462CE2"/>
    <w:rsid w:val="3C781585"/>
    <w:rsid w:val="3C9A5CE8"/>
    <w:rsid w:val="3CA07775"/>
    <w:rsid w:val="3CBB4E44"/>
    <w:rsid w:val="3CCD7E3F"/>
    <w:rsid w:val="3D19458F"/>
    <w:rsid w:val="3DC30177"/>
    <w:rsid w:val="3DDB5BE8"/>
    <w:rsid w:val="3E181FDB"/>
    <w:rsid w:val="3E5C349C"/>
    <w:rsid w:val="3EC72008"/>
    <w:rsid w:val="3EE60826"/>
    <w:rsid w:val="3F201745"/>
    <w:rsid w:val="3F9A32E9"/>
    <w:rsid w:val="3FA90D12"/>
    <w:rsid w:val="4032541F"/>
    <w:rsid w:val="404C551E"/>
    <w:rsid w:val="40955DCC"/>
    <w:rsid w:val="40DE4E92"/>
    <w:rsid w:val="41035944"/>
    <w:rsid w:val="41365BB6"/>
    <w:rsid w:val="414735F3"/>
    <w:rsid w:val="416A2100"/>
    <w:rsid w:val="41971160"/>
    <w:rsid w:val="41D640BB"/>
    <w:rsid w:val="41F35C8F"/>
    <w:rsid w:val="42444912"/>
    <w:rsid w:val="427249EE"/>
    <w:rsid w:val="42B459B6"/>
    <w:rsid w:val="42FE6FA4"/>
    <w:rsid w:val="4337052F"/>
    <w:rsid w:val="4367558F"/>
    <w:rsid w:val="43A40AF2"/>
    <w:rsid w:val="43C31F9B"/>
    <w:rsid w:val="43CD70AD"/>
    <w:rsid w:val="445F1CC4"/>
    <w:rsid w:val="4491701B"/>
    <w:rsid w:val="451B0855"/>
    <w:rsid w:val="45D42CB8"/>
    <w:rsid w:val="45D73DC9"/>
    <w:rsid w:val="462C00C1"/>
    <w:rsid w:val="462E321F"/>
    <w:rsid w:val="46584C1D"/>
    <w:rsid w:val="46CE33FE"/>
    <w:rsid w:val="47237DB5"/>
    <w:rsid w:val="475C01D7"/>
    <w:rsid w:val="476616BB"/>
    <w:rsid w:val="47CA04E7"/>
    <w:rsid w:val="47E01A29"/>
    <w:rsid w:val="48586551"/>
    <w:rsid w:val="4880787B"/>
    <w:rsid w:val="489E6A06"/>
    <w:rsid w:val="495045D7"/>
    <w:rsid w:val="49581D40"/>
    <w:rsid w:val="49722CD5"/>
    <w:rsid w:val="4A413C1A"/>
    <w:rsid w:val="4A580775"/>
    <w:rsid w:val="4A5D0A54"/>
    <w:rsid w:val="4A750A10"/>
    <w:rsid w:val="4AA46683"/>
    <w:rsid w:val="4AEA29A1"/>
    <w:rsid w:val="4B2E0642"/>
    <w:rsid w:val="4B3250B2"/>
    <w:rsid w:val="4BAC3006"/>
    <w:rsid w:val="4BDC77A0"/>
    <w:rsid w:val="4BFF38BD"/>
    <w:rsid w:val="4C8E432F"/>
    <w:rsid w:val="4CC50B32"/>
    <w:rsid w:val="4D730311"/>
    <w:rsid w:val="4DD26D53"/>
    <w:rsid w:val="4DED1120"/>
    <w:rsid w:val="4E761C69"/>
    <w:rsid w:val="4EB250E6"/>
    <w:rsid w:val="4EB8094F"/>
    <w:rsid w:val="4EDD3582"/>
    <w:rsid w:val="4F02606E"/>
    <w:rsid w:val="4F027E1C"/>
    <w:rsid w:val="4F404829"/>
    <w:rsid w:val="4F5869C5"/>
    <w:rsid w:val="4F5B5DDC"/>
    <w:rsid w:val="4F646E37"/>
    <w:rsid w:val="4F7B0223"/>
    <w:rsid w:val="502E425A"/>
    <w:rsid w:val="5078412D"/>
    <w:rsid w:val="50C10D15"/>
    <w:rsid w:val="50F33EC0"/>
    <w:rsid w:val="50F54858"/>
    <w:rsid w:val="5100038B"/>
    <w:rsid w:val="510736E5"/>
    <w:rsid w:val="511A58F1"/>
    <w:rsid w:val="51310276"/>
    <w:rsid w:val="5140488D"/>
    <w:rsid w:val="514A4340"/>
    <w:rsid w:val="518E774D"/>
    <w:rsid w:val="51A60F32"/>
    <w:rsid w:val="51A81D22"/>
    <w:rsid w:val="51CE66DB"/>
    <w:rsid w:val="51E657D3"/>
    <w:rsid w:val="52095BE4"/>
    <w:rsid w:val="52720E14"/>
    <w:rsid w:val="52AE1246"/>
    <w:rsid w:val="531E577F"/>
    <w:rsid w:val="532E7431"/>
    <w:rsid w:val="533A4983"/>
    <w:rsid w:val="535B7AFB"/>
    <w:rsid w:val="53820317"/>
    <w:rsid w:val="53EE7CDE"/>
    <w:rsid w:val="54041F40"/>
    <w:rsid w:val="54337E29"/>
    <w:rsid w:val="54592ADA"/>
    <w:rsid w:val="54613CA8"/>
    <w:rsid w:val="54A42892"/>
    <w:rsid w:val="54BF37C1"/>
    <w:rsid w:val="54D20290"/>
    <w:rsid w:val="54EC64E8"/>
    <w:rsid w:val="54FC70BB"/>
    <w:rsid w:val="55102B67"/>
    <w:rsid w:val="5511700B"/>
    <w:rsid w:val="552A526A"/>
    <w:rsid w:val="555468CF"/>
    <w:rsid w:val="55D96F4E"/>
    <w:rsid w:val="55DB2B86"/>
    <w:rsid w:val="55FF72D0"/>
    <w:rsid w:val="56033895"/>
    <w:rsid w:val="561F7C12"/>
    <w:rsid w:val="564E461C"/>
    <w:rsid w:val="57CA16F3"/>
    <w:rsid w:val="57EC1669"/>
    <w:rsid w:val="5905637D"/>
    <w:rsid w:val="5947047E"/>
    <w:rsid w:val="5A356C40"/>
    <w:rsid w:val="5A7616BE"/>
    <w:rsid w:val="5A766C60"/>
    <w:rsid w:val="5A785436"/>
    <w:rsid w:val="5A7E5BEC"/>
    <w:rsid w:val="5AB20990"/>
    <w:rsid w:val="5AF51D66"/>
    <w:rsid w:val="5B2335F4"/>
    <w:rsid w:val="5B771EDF"/>
    <w:rsid w:val="5BB016D4"/>
    <w:rsid w:val="5BCD5775"/>
    <w:rsid w:val="5C011E3A"/>
    <w:rsid w:val="5CD238FF"/>
    <w:rsid w:val="5CDB26BB"/>
    <w:rsid w:val="5CFD769E"/>
    <w:rsid w:val="5D8D4112"/>
    <w:rsid w:val="5DB36BC2"/>
    <w:rsid w:val="5E055233"/>
    <w:rsid w:val="5E0B3F0D"/>
    <w:rsid w:val="5E26780A"/>
    <w:rsid w:val="5E327512"/>
    <w:rsid w:val="5E525F9E"/>
    <w:rsid w:val="5F1C6CD8"/>
    <w:rsid w:val="5F7531FB"/>
    <w:rsid w:val="5FD00D94"/>
    <w:rsid w:val="5FE76670"/>
    <w:rsid w:val="602656B0"/>
    <w:rsid w:val="605C33D5"/>
    <w:rsid w:val="607D2B63"/>
    <w:rsid w:val="608C7E04"/>
    <w:rsid w:val="609B09EE"/>
    <w:rsid w:val="60A268B3"/>
    <w:rsid w:val="60F84A43"/>
    <w:rsid w:val="6127183B"/>
    <w:rsid w:val="615C5B3D"/>
    <w:rsid w:val="61635DF0"/>
    <w:rsid w:val="61835B97"/>
    <w:rsid w:val="61AB60F1"/>
    <w:rsid w:val="61D1476F"/>
    <w:rsid w:val="620C1FBD"/>
    <w:rsid w:val="622A170C"/>
    <w:rsid w:val="62487DE4"/>
    <w:rsid w:val="624A590A"/>
    <w:rsid w:val="62681B5E"/>
    <w:rsid w:val="62F37D50"/>
    <w:rsid w:val="630B32EB"/>
    <w:rsid w:val="63262E46"/>
    <w:rsid w:val="637C3AA2"/>
    <w:rsid w:val="63A412DA"/>
    <w:rsid w:val="63E306D2"/>
    <w:rsid w:val="63E678B4"/>
    <w:rsid w:val="6430256B"/>
    <w:rsid w:val="6449399F"/>
    <w:rsid w:val="64587555"/>
    <w:rsid w:val="645D3D90"/>
    <w:rsid w:val="64677A9D"/>
    <w:rsid w:val="647D7F4F"/>
    <w:rsid w:val="64A86918"/>
    <w:rsid w:val="65132C0E"/>
    <w:rsid w:val="656B62C3"/>
    <w:rsid w:val="65766C11"/>
    <w:rsid w:val="657A759C"/>
    <w:rsid w:val="65801B6B"/>
    <w:rsid w:val="65A755FF"/>
    <w:rsid w:val="65EB2F60"/>
    <w:rsid w:val="662D17CA"/>
    <w:rsid w:val="66C06A36"/>
    <w:rsid w:val="66C325AC"/>
    <w:rsid w:val="67576D6D"/>
    <w:rsid w:val="6784366C"/>
    <w:rsid w:val="67870ED6"/>
    <w:rsid w:val="67AA1128"/>
    <w:rsid w:val="67EE5AE1"/>
    <w:rsid w:val="67FD6F7B"/>
    <w:rsid w:val="68153654"/>
    <w:rsid w:val="682F3842"/>
    <w:rsid w:val="68471323"/>
    <w:rsid w:val="685C387D"/>
    <w:rsid w:val="6881195A"/>
    <w:rsid w:val="68845DDA"/>
    <w:rsid w:val="68B4012E"/>
    <w:rsid w:val="68DE3FEB"/>
    <w:rsid w:val="68F5196B"/>
    <w:rsid w:val="6941188F"/>
    <w:rsid w:val="6978711E"/>
    <w:rsid w:val="698701B1"/>
    <w:rsid w:val="699A1303"/>
    <w:rsid w:val="69E32B7F"/>
    <w:rsid w:val="69EE5663"/>
    <w:rsid w:val="6A284B70"/>
    <w:rsid w:val="6A671FEF"/>
    <w:rsid w:val="6AB83520"/>
    <w:rsid w:val="6AF10909"/>
    <w:rsid w:val="6B252A52"/>
    <w:rsid w:val="6B804724"/>
    <w:rsid w:val="6B8609CD"/>
    <w:rsid w:val="6B9D137D"/>
    <w:rsid w:val="6BAA7EB9"/>
    <w:rsid w:val="6BB12556"/>
    <w:rsid w:val="6BD3071E"/>
    <w:rsid w:val="6BD34BC2"/>
    <w:rsid w:val="6CBA483E"/>
    <w:rsid w:val="6CC10FD7"/>
    <w:rsid w:val="6CCE0DC2"/>
    <w:rsid w:val="6CF01F3A"/>
    <w:rsid w:val="6D1539FC"/>
    <w:rsid w:val="6D2C5EBD"/>
    <w:rsid w:val="6D3E606B"/>
    <w:rsid w:val="6DA504ED"/>
    <w:rsid w:val="6E07277C"/>
    <w:rsid w:val="6E1E25D8"/>
    <w:rsid w:val="6E2D6765"/>
    <w:rsid w:val="6E4D154A"/>
    <w:rsid w:val="6E551DAB"/>
    <w:rsid w:val="6E602011"/>
    <w:rsid w:val="6E7B68B9"/>
    <w:rsid w:val="6E946B8C"/>
    <w:rsid w:val="6EB17498"/>
    <w:rsid w:val="6EE2287F"/>
    <w:rsid w:val="6F094FB1"/>
    <w:rsid w:val="6F5B3634"/>
    <w:rsid w:val="6F865AA7"/>
    <w:rsid w:val="6F871F4B"/>
    <w:rsid w:val="6F9B1F62"/>
    <w:rsid w:val="6FC12966"/>
    <w:rsid w:val="6FC83A88"/>
    <w:rsid w:val="6FD42E50"/>
    <w:rsid w:val="6FE52C68"/>
    <w:rsid w:val="7035456D"/>
    <w:rsid w:val="704C4F43"/>
    <w:rsid w:val="70A83515"/>
    <w:rsid w:val="70DF36C1"/>
    <w:rsid w:val="71226050"/>
    <w:rsid w:val="716E55E9"/>
    <w:rsid w:val="71B22FA1"/>
    <w:rsid w:val="71B92164"/>
    <w:rsid w:val="72697041"/>
    <w:rsid w:val="72AB3280"/>
    <w:rsid w:val="72CF0928"/>
    <w:rsid w:val="72E72D01"/>
    <w:rsid w:val="72F378F8"/>
    <w:rsid w:val="73337AE0"/>
    <w:rsid w:val="73860823"/>
    <w:rsid w:val="73927111"/>
    <w:rsid w:val="73B955A1"/>
    <w:rsid w:val="73C515E0"/>
    <w:rsid w:val="73D820BC"/>
    <w:rsid w:val="73E45068"/>
    <w:rsid w:val="73F47A32"/>
    <w:rsid w:val="741C2FFF"/>
    <w:rsid w:val="742E7295"/>
    <w:rsid w:val="7432548D"/>
    <w:rsid w:val="748C038E"/>
    <w:rsid w:val="74A10DDB"/>
    <w:rsid w:val="74AB66DC"/>
    <w:rsid w:val="74B0278E"/>
    <w:rsid w:val="74CC218A"/>
    <w:rsid w:val="753C37D8"/>
    <w:rsid w:val="75491A51"/>
    <w:rsid w:val="755C1784"/>
    <w:rsid w:val="75623B70"/>
    <w:rsid w:val="759B6031"/>
    <w:rsid w:val="75AF3AFB"/>
    <w:rsid w:val="75C2291E"/>
    <w:rsid w:val="75F85260"/>
    <w:rsid w:val="75FF7CC4"/>
    <w:rsid w:val="76301F9C"/>
    <w:rsid w:val="766052A4"/>
    <w:rsid w:val="76A72FF4"/>
    <w:rsid w:val="76C6095F"/>
    <w:rsid w:val="76E50DD3"/>
    <w:rsid w:val="77130569"/>
    <w:rsid w:val="77AC1258"/>
    <w:rsid w:val="77D54467"/>
    <w:rsid w:val="781520BE"/>
    <w:rsid w:val="783620E6"/>
    <w:rsid w:val="78732B52"/>
    <w:rsid w:val="790E7DF9"/>
    <w:rsid w:val="79371B2C"/>
    <w:rsid w:val="798617C0"/>
    <w:rsid w:val="798715FB"/>
    <w:rsid w:val="79AD1098"/>
    <w:rsid w:val="79D76F5C"/>
    <w:rsid w:val="7A03280C"/>
    <w:rsid w:val="7A41363F"/>
    <w:rsid w:val="7A735BB8"/>
    <w:rsid w:val="7A7D6734"/>
    <w:rsid w:val="7AD86DAA"/>
    <w:rsid w:val="7ADF7DEE"/>
    <w:rsid w:val="7B1228E5"/>
    <w:rsid w:val="7B191EC6"/>
    <w:rsid w:val="7B2935E6"/>
    <w:rsid w:val="7B75341B"/>
    <w:rsid w:val="7BA479E1"/>
    <w:rsid w:val="7C030BAC"/>
    <w:rsid w:val="7C5669D7"/>
    <w:rsid w:val="7C6431AF"/>
    <w:rsid w:val="7C7F15D0"/>
    <w:rsid w:val="7CC979B8"/>
    <w:rsid w:val="7CF35F0C"/>
    <w:rsid w:val="7D2A40A1"/>
    <w:rsid w:val="7D3E18A2"/>
    <w:rsid w:val="7D4A1B5B"/>
    <w:rsid w:val="7D4B2E3A"/>
    <w:rsid w:val="7D5E593A"/>
    <w:rsid w:val="7DC826E3"/>
    <w:rsid w:val="7DE90BBF"/>
    <w:rsid w:val="7E42106F"/>
    <w:rsid w:val="7E9755DB"/>
    <w:rsid w:val="7EAD6011"/>
    <w:rsid w:val="7ECA2649"/>
    <w:rsid w:val="7FA97CBC"/>
    <w:rsid w:val="7FC27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link w:val="51"/>
    <w:autoRedefine/>
    <w:unhideWhenUsed/>
    <w:qFormat/>
    <w:uiPriority w:val="0"/>
    <w:pPr>
      <w:keepNext/>
      <w:keepLines/>
      <w:spacing w:before="260" w:after="260" w:line="413" w:lineRule="auto"/>
      <w:outlineLvl w:val="1"/>
    </w:pPr>
    <w:rPr>
      <w:rFonts w:ascii="Arial" w:hAnsi="Arial" w:eastAsia="宋体"/>
      <w:b/>
      <w:sz w:val="36"/>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firstLineChars="200"/>
    </w:pPr>
  </w:style>
  <w:style w:type="paragraph" w:styleId="7">
    <w:name w:val="annotation text"/>
    <w:basedOn w:val="1"/>
    <w:autoRedefine/>
    <w:qFormat/>
    <w:uiPriority w:val="0"/>
    <w:pPr>
      <w:jc w:val="left"/>
    </w:pPr>
  </w:style>
  <w:style w:type="paragraph" w:styleId="8">
    <w:name w:val="Body Text 3"/>
    <w:basedOn w:val="1"/>
    <w:autoRedefine/>
    <w:qFormat/>
    <w:uiPriority w:val="0"/>
    <w:pPr>
      <w:spacing w:after="120"/>
    </w:pPr>
    <w:rPr>
      <w:sz w:val="16"/>
      <w:szCs w:val="16"/>
    </w:rPr>
  </w:style>
  <w:style w:type="paragraph" w:styleId="9">
    <w:name w:val="Body Text"/>
    <w:basedOn w:val="1"/>
    <w:autoRedefine/>
    <w:qFormat/>
    <w:uiPriority w:val="0"/>
    <w:pPr>
      <w:spacing w:after="120"/>
    </w:pPr>
  </w:style>
  <w:style w:type="paragraph" w:styleId="10">
    <w:name w:val="Body Text Indent"/>
    <w:basedOn w:val="1"/>
    <w:next w:val="11"/>
    <w:autoRedefine/>
    <w:qFormat/>
    <w:uiPriority w:val="0"/>
    <w:pPr>
      <w:ind w:firstLine="560" w:firstLineChars="200"/>
    </w:pPr>
    <w:rPr>
      <w:rFonts w:ascii="仿宋_GB2312" w:eastAsia="仿宋_GB2312"/>
      <w:sz w:val="28"/>
      <w:szCs w:val="20"/>
    </w:rPr>
  </w:style>
  <w:style w:type="paragraph" w:styleId="11">
    <w:name w:val="envelope return"/>
    <w:basedOn w:val="1"/>
    <w:autoRedefine/>
    <w:qFormat/>
    <w:uiPriority w:val="0"/>
    <w:pPr>
      <w:snapToGrid w:val="0"/>
    </w:pPr>
    <w:rPr>
      <w:rFonts w:ascii="Arial" w:hAnsi="Arial"/>
    </w:rPr>
  </w:style>
  <w:style w:type="paragraph" w:styleId="12">
    <w:name w:val="toc 3"/>
    <w:basedOn w:val="1"/>
    <w:next w:val="1"/>
    <w:autoRedefine/>
    <w:qFormat/>
    <w:uiPriority w:val="0"/>
    <w:pPr>
      <w:ind w:left="400" w:leftChars="400"/>
    </w:pPr>
  </w:style>
  <w:style w:type="paragraph" w:styleId="13">
    <w:name w:val="Plain Text"/>
    <w:basedOn w:val="1"/>
    <w:next w:val="1"/>
    <w:autoRedefine/>
    <w:qFormat/>
    <w:uiPriority w:val="0"/>
    <w:rPr>
      <w:rFonts w:ascii="宋体" w:hAnsi="Courier New" w:eastAsia="宋体" w:cs="Courier New"/>
      <w:szCs w:val="21"/>
    </w:rPr>
  </w:style>
  <w:style w:type="paragraph" w:styleId="14">
    <w:name w:val="Date"/>
    <w:basedOn w:val="1"/>
    <w:next w:val="1"/>
    <w:autoRedefine/>
    <w:qFormat/>
    <w:uiPriority w:val="0"/>
    <w:pPr>
      <w:ind w:left="100" w:leftChars="2500"/>
    </w:pPr>
    <w:rPr>
      <w:rFonts w:ascii="宋体" w:hAnsi="宋体"/>
      <w:sz w:val="28"/>
    </w:rPr>
  </w:style>
  <w:style w:type="paragraph" w:styleId="15">
    <w:name w:val="Balloon Text"/>
    <w:basedOn w:val="1"/>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rFonts w:ascii="Book Antiqua" w:hAnsi="Book Antiqua"/>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0"/>
  </w:style>
  <w:style w:type="paragraph" w:styleId="19">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0">
    <w:name w:val="toc 2"/>
    <w:basedOn w:val="1"/>
    <w:next w:val="1"/>
    <w:autoRedefine/>
    <w:qFormat/>
    <w:uiPriority w:val="0"/>
    <w:pPr>
      <w:ind w:left="420" w:leftChars="200"/>
    </w:pPr>
  </w:style>
  <w:style w:type="paragraph" w:styleId="21">
    <w:name w:val="Body Text 2"/>
    <w:basedOn w:val="1"/>
    <w:next w:val="9"/>
    <w:autoRedefine/>
    <w:qFormat/>
    <w:uiPriority w:val="99"/>
    <w:pPr>
      <w:spacing w:after="120" w:line="480" w:lineRule="auto"/>
    </w:pPr>
    <w:rPr>
      <w:rFonts w:ascii="Times New Roman" w:hAnsi="Times New Roman"/>
      <w:kern w:val="0"/>
      <w:sz w:val="24"/>
    </w:rPr>
  </w:style>
  <w:style w:type="paragraph" w:styleId="2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sz w:val="24"/>
    </w:rPr>
  </w:style>
  <w:style w:type="paragraph" w:styleId="23">
    <w:name w:val="HTML Preformatted"/>
    <w:basedOn w:val="1"/>
    <w:qFormat/>
    <w:uiPriority w:val="0"/>
    <w:rPr>
      <w:rFonts w:ascii="Courier New" w:hAnsi="Courier New"/>
      <w:sz w:val="20"/>
    </w:rPr>
  </w:style>
  <w:style w:type="paragraph" w:styleId="24">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5">
    <w:name w:val="Title"/>
    <w:basedOn w:val="1"/>
    <w:next w:val="1"/>
    <w:autoRedefine/>
    <w:qFormat/>
    <w:uiPriority w:val="0"/>
    <w:pPr>
      <w:spacing w:before="240" w:after="60"/>
      <w:jc w:val="center"/>
      <w:outlineLvl w:val="0"/>
    </w:pPr>
    <w:rPr>
      <w:rFonts w:ascii="Cambria" w:hAnsi="Cambria"/>
      <w:b/>
      <w:bCs/>
      <w:sz w:val="32"/>
      <w:szCs w:val="32"/>
    </w:rPr>
  </w:style>
  <w:style w:type="paragraph" w:styleId="26">
    <w:name w:val="Body Text First Indent"/>
    <w:basedOn w:val="9"/>
    <w:next w:val="27"/>
    <w:autoRedefine/>
    <w:qFormat/>
    <w:uiPriority w:val="0"/>
    <w:pPr>
      <w:ind w:firstLine="420" w:firstLineChars="100"/>
    </w:pPr>
  </w:style>
  <w:style w:type="paragraph" w:styleId="27">
    <w:name w:val="Body Text First Indent 2"/>
    <w:basedOn w:val="10"/>
    <w:next w:val="1"/>
    <w:autoRedefine/>
    <w:qFormat/>
    <w:uiPriority w:val="0"/>
    <w:pPr>
      <w:ind w:firstLine="420"/>
    </w:pPr>
    <w:rPr>
      <w:sz w:val="21"/>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0"/>
    <w:rPr>
      <w:b/>
    </w:rPr>
  </w:style>
  <w:style w:type="character" w:styleId="32">
    <w:name w:val="FollowedHyperlink"/>
    <w:basedOn w:val="30"/>
    <w:autoRedefine/>
    <w:qFormat/>
    <w:uiPriority w:val="0"/>
    <w:rPr>
      <w:color w:val="333333"/>
      <w:u w:val="none"/>
    </w:rPr>
  </w:style>
  <w:style w:type="character" w:styleId="33">
    <w:name w:val="Emphasis"/>
    <w:basedOn w:val="30"/>
    <w:autoRedefine/>
    <w:qFormat/>
    <w:uiPriority w:val="0"/>
  </w:style>
  <w:style w:type="character" w:styleId="34">
    <w:name w:val="HTML Definition"/>
    <w:basedOn w:val="30"/>
    <w:autoRedefine/>
    <w:qFormat/>
    <w:uiPriority w:val="0"/>
    <w:rPr>
      <w:i/>
    </w:rPr>
  </w:style>
  <w:style w:type="character" w:styleId="35">
    <w:name w:val="Hyperlink"/>
    <w:basedOn w:val="30"/>
    <w:autoRedefine/>
    <w:qFormat/>
    <w:uiPriority w:val="0"/>
    <w:rPr>
      <w:color w:val="0000FF"/>
      <w:u w:val="single"/>
    </w:rPr>
  </w:style>
  <w:style w:type="character" w:styleId="36">
    <w:name w:val="HTML Code"/>
    <w:basedOn w:val="30"/>
    <w:autoRedefine/>
    <w:qFormat/>
    <w:uiPriority w:val="0"/>
    <w:rPr>
      <w:rFonts w:ascii="Consolas" w:hAnsi="Consolas" w:eastAsia="Consolas" w:cs="Consolas"/>
      <w:color w:val="C7254E"/>
      <w:sz w:val="21"/>
      <w:szCs w:val="21"/>
      <w:shd w:val="clear" w:color="auto" w:fill="F9F2F4"/>
    </w:rPr>
  </w:style>
  <w:style w:type="character" w:styleId="37">
    <w:name w:val="HTML Keyboard"/>
    <w:basedOn w:val="30"/>
    <w:autoRedefine/>
    <w:qFormat/>
    <w:uiPriority w:val="0"/>
    <w:rPr>
      <w:rFonts w:hint="default" w:ascii="Consolas" w:hAnsi="Consolas" w:eastAsia="Consolas" w:cs="Consolas"/>
      <w:color w:val="FFFFFF"/>
      <w:sz w:val="21"/>
      <w:szCs w:val="21"/>
      <w:shd w:val="clear" w:color="auto" w:fill="333333"/>
    </w:rPr>
  </w:style>
  <w:style w:type="character" w:styleId="38">
    <w:name w:val="HTML Sample"/>
    <w:basedOn w:val="30"/>
    <w:autoRedefine/>
    <w:qFormat/>
    <w:uiPriority w:val="0"/>
    <w:rPr>
      <w:rFonts w:hint="default" w:ascii="Consolas" w:hAnsi="Consolas" w:eastAsia="Consolas" w:cs="Consolas"/>
      <w:sz w:val="21"/>
      <w:szCs w:val="21"/>
    </w:rPr>
  </w:style>
  <w:style w:type="paragraph" w:customStyle="1" w:styleId="39">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Char Char10 Char Char Char Char"/>
    <w:basedOn w:val="1"/>
    <w:next w:val="41"/>
    <w:autoRedefine/>
    <w:qFormat/>
    <w:uiPriority w:val="0"/>
  </w:style>
  <w:style w:type="paragraph" w:customStyle="1" w:styleId="41">
    <w:name w:val="xl87"/>
    <w:basedOn w:val="1"/>
    <w:next w:val="42"/>
    <w:autoRedefine/>
    <w:qFormat/>
    <w:uiPriority w:val="0"/>
    <w:pPr>
      <w:widowControl/>
      <w:shd w:val="clear" w:color="FFFFFF" w:fill="FFFFFF"/>
      <w:spacing w:before="280" w:after="280"/>
      <w:jc w:val="right"/>
    </w:pPr>
    <w:rPr>
      <w:rFonts w:ascii="宋体"/>
      <w:sz w:val="24"/>
    </w:rPr>
  </w:style>
  <w:style w:type="paragraph" w:customStyle="1" w:styleId="42">
    <w:name w:val="xl72"/>
    <w:basedOn w:val="1"/>
    <w:next w:val="14"/>
    <w:autoRedefine/>
    <w:qFormat/>
    <w:uiPriority w:val="0"/>
    <w:pPr>
      <w:widowControl/>
      <w:shd w:val="clear" w:color="FFFFFF" w:fill="FFFFFF"/>
      <w:spacing w:before="280" w:after="280"/>
      <w:jc w:val="right"/>
    </w:pPr>
    <w:rPr>
      <w:rFonts w:ascii="宋体"/>
      <w:sz w:val="24"/>
    </w:rPr>
  </w:style>
  <w:style w:type="paragraph" w:customStyle="1" w:styleId="43">
    <w:name w:val="Body Text Indent1"/>
    <w:basedOn w:val="1"/>
    <w:autoRedefine/>
    <w:qFormat/>
    <w:uiPriority w:val="0"/>
    <w:pPr>
      <w:spacing w:line="360" w:lineRule="auto"/>
      <w:ind w:firstLine="482" w:firstLineChars="100"/>
      <w:jc w:val="center"/>
    </w:pPr>
    <w:rPr>
      <w:rFonts w:ascii="黑体" w:eastAsia="黑体"/>
      <w:b/>
      <w:sz w:val="48"/>
      <w:szCs w:val="28"/>
    </w:rPr>
  </w:style>
  <w:style w:type="paragraph" w:customStyle="1" w:styleId="44">
    <w:name w:val="正文文本 21"/>
    <w:basedOn w:val="1"/>
    <w:autoRedefine/>
    <w:qFormat/>
    <w:uiPriority w:val="0"/>
    <w:rPr>
      <w:rFonts w:ascii="Times New Roman" w:hAnsi="Times New Roman" w:cs="Times New Roman"/>
      <w:sz w:val="28"/>
      <w:lang w:bidi="ar-SA"/>
    </w:rPr>
  </w:style>
  <w:style w:type="paragraph" w:customStyle="1" w:styleId="45">
    <w:name w:val="首行缩进"/>
    <w:basedOn w:val="1"/>
    <w:autoRedefine/>
    <w:qFormat/>
    <w:uiPriority w:val="99"/>
    <w:pPr>
      <w:ind w:firstLine="480" w:firstLineChars="200"/>
    </w:pPr>
    <w:rPr>
      <w:lang w:val="zh-CN"/>
    </w:rPr>
  </w:style>
  <w:style w:type="paragraph" w:customStyle="1" w:styleId="46">
    <w:name w:val="Normal (Web)_5efb41cb-e9a4-428f-ba0a-a3d541133532"/>
    <w:basedOn w:val="1"/>
    <w:autoRedefine/>
    <w:qFormat/>
    <w:uiPriority w:val="0"/>
    <w:pPr>
      <w:spacing w:beforeAutospacing="1" w:afterAutospacing="1"/>
      <w:jc w:val="left"/>
    </w:pPr>
    <w:rPr>
      <w:kern w:val="0"/>
      <w:sz w:val="24"/>
    </w:rPr>
  </w:style>
  <w:style w:type="character" w:customStyle="1" w:styleId="47">
    <w:name w:val="标题 2 Char Char"/>
    <w:autoRedefine/>
    <w:qFormat/>
    <w:uiPriority w:val="0"/>
    <w:rPr>
      <w:rFonts w:ascii="Arial" w:hAnsi="Arial" w:eastAsia="黑体"/>
      <w:b/>
      <w:sz w:val="32"/>
    </w:rPr>
  </w:style>
  <w:style w:type="character" w:customStyle="1" w:styleId="48">
    <w:name w:val="comment-time"/>
    <w:basedOn w:val="30"/>
    <w:autoRedefine/>
    <w:qFormat/>
    <w:uiPriority w:val="0"/>
    <w:rPr>
      <w:color w:val="777777"/>
      <w:sz w:val="16"/>
      <w:szCs w:val="16"/>
    </w:rPr>
  </w:style>
  <w:style w:type="paragraph" w:customStyle="1" w:styleId="49">
    <w:name w:val="文档正文5"/>
    <w:basedOn w:val="6"/>
    <w:autoRedefine/>
    <w:qFormat/>
    <w:uiPriority w:val="0"/>
    <w:pPr>
      <w:autoSpaceDE w:val="0"/>
      <w:autoSpaceDN w:val="0"/>
      <w:snapToGrid w:val="0"/>
      <w:spacing w:line="440" w:lineRule="exact"/>
      <w:ind w:firstLine="505"/>
    </w:pPr>
    <w:rPr>
      <w:spacing w:val="4"/>
      <w:sz w:val="24"/>
    </w:rPr>
  </w:style>
  <w:style w:type="character" w:customStyle="1" w:styleId="50">
    <w:name w:val="mip-carousel-current-indicator"/>
    <w:basedOn w:val="30"/>
    <w:autoRedefine/>
    <w:qFormat/>
    <w:uiPriority w:val="0"/>
    <w:rPr>
      <w:shd w:val="clear" w:color="auto" w:fill="FF0000"/>
    </w:rPr>
  </w:style>
  <w:style w:type="character" w:customStyle="1" w:styleId="51">
    <w:name w:val="标题 2 Char"/>
    <w:link w:val="3"/>
    <w:autoRedefine/>
    <w:qFormat/>
    <w:uiPriority w:val="0"/>
    <w:rPr>
      <w:rFonts w:ascii="Arial" w:hAnsi="Arial" w:eastAsia="宋体"/>
      <w:b/>
      <w:sz w:val="36"/>
    </w:rPr>
  </w:style>
  <w:style w:type="paragraph" w:customStyle="1" w:styleId="52">
    <w:name w:val="正文文本缩进1"/>
    <w:basedOn w:val="1"/>
    <w:autoRedefine/>
    <w:qFormat/>
    <w:uiPriority w:val="0"/>
    <w:pPr>
      <w:ind w:firstLine="560" w:firstLineChars="200"/>
    </w:pPr>
    <w:rPr>
      <w:rFonts w:ascii="仿宋_GB2312" w:eastAsia="仿宋_GB2312"/>
      <w:sz w:val="28"/>
      <w:szCs w:val="20"/>
    </w:rPr>
  </w:style>
  <w:style w:type="paragraph" w:styleId="5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4">
    <w:name w:val="无间隔1"/>
    <w:basedOn w:val="1"/>
    <w:autoRedefine/>
    <w:qFormat/>
    <w:uiPriority w:val="0"/>
    <w:pPr>
      <w:widowControl w:val="0"/>
      <w:jc w:val="both"/>
    </w:pPr>
    <w:rPr>
      <w:rFonts w:ascii="Calibri" w:hAnsi="Calibri"/>
      <w:kern w:val="2"/>
      <w:sz w:val="21"/>
      <w:szCs w:val="22"/>
      <w:lang w:val="en-US" w:eastAsia="zh-CN" w:bidi="ar-SA"/>
    </w:rPr>
  </w:style>
  <w:style w:type="character" w:customStyle="1" w:styleId="55">
    <w:name w:val="font31"/>
    <w:basedOn w:val="30"/>
    <w:autoRedefine/>
    <w:qFormat/>
    <w:uiPriority w:val="0"/>
    <w:rPr>
      <w:rFonts w:ascii="Arial" w:hAnsi="Arial" w:cs="Arial"/>
      <w:b/>
      <w:color w:val="000000"/>
      <w:sz w:val="24"/>
      <w:szCs w:val="24"/>
      <w:u w:val="none"/>
    </w:rPr>
  </w:style>
  <w:style w:type="character" w:customStyle="1" w:styleId="56">
    <w:name w:val="font11"/>
    <w:basedOn w:val="30"/>
    <w:autoRedefine/>
    <w:qFormat/>
    <w:uiPriority w:val="0"/>
    <w:rPr>
      <w:rFonts w:hint="eastAsia" w:ascii="宋体" w:hAnsi="宋体" w:eastAsia="宋体" w:cs="宋体"/>
      <w:b/>
      <w:color w:val="000000"/>
      <w:sz w:val="24"/>
      <w:szCs w:val="24"/>
      <w:u w:val="none"/>
    </w:rPr>
  </w:style>
  <w:style w:type="paragraph" w:customStyle="1" w:styleId="57">
    <w:name w:val="Table Paragraph"/>
    <w:basedOn w:val="1"/>
    <w:autoRedefine/>
    <w:qFormat/>
    <w:uiPriority w:val="1"/>
    <w:rPr>
      <w:rFonts w:ascii="宋体" w:hAnsi="宋体" w:eastAsia="宋体" w:cs="宋体"/>
      <w:lang w:val="zh-CN" w:eastAsia="zh-CN" w:bidi="zh-CN"/>
    </w:rPr>
  </w:style>
  <w:style w:type="table" w:customStyle="1" w:styleId="58">
    <w:name w:val="Table Normal"/>
    <w:autoRedefine/>
    <w:semiHidden/>
    <w:unhideWhenUsed/>
    <w:qFormat/>
    <w:uiPriority w:val="0"/>
    <w:tblPr>
      <w:tblCellMar>
        <w:top w:w="0" w:type="dxa"/>
        <w:left w:w="0" w:type="dxa"/>
        <w:bottom w:w="0" w:type="dxa"/>
        <w:right w:w="0" w:type="dxa"/>
      </w:tblCellMar>
    </w:tblPr>
  </w:style>
  <w:style w:type="paragraph" w:customStyle="1" w:styleId="59">
    <w:name w:val="BodyText1I"/>
    <w:basedOn w:val="60"/>
    <w:autoRedefine/>
    <w:qFormat/>
    <w:uiPriority w:val="99"/>
    <w:pPr>
      <w:ind w:firstLine="420" w:firstLineChars="100"/>
    </w:pPr>
  </w:style>
  <w:style w:type="paragraph" w:customStyle="1" w:styleId="60">
    <w:name w:val="BodyText"/>
    <w:basedOn w:val="1"/>
    <w:autoRedefine/>
    <w:qFormat/>
    <w:uiPriority w:val="99"/>
    <w:pPr>
      <w:spacing w:after="120"/>
    </w:pPr>
  </w:style>
  <w:style w:type="paragraph" w:customStyle="1" w:styleId="61">
    <w:name w:val="Body Text Indent"/>
    <w:basedOn w:val="1"/>
    <w:autoRedefine/>
    <w:qFormat/>
    <w:uiPriority w:val="0"/>
    <w:pPr>
      <w:spacing w:line="360" w:lineRule="auto"/>
      <w:ind w:firstLine="482" w:firstLineChars="100"/>
      <w:jc w:val="center"/>
    </w:pPr>
    <w:rPr>
      <w:rFonts w:ascii="黑体" w:eastAsia="黑体"/>
      <w:b/>
      <w:sz w:val="48"/>
      <w:szCs w:val="28"/>
    </w:rPr>
  </w:style>
  <w:style w:type="character" w:customStyle="1" w:styleId="62">
    <w:name w:val="NormalCharacter"/>
    <w:link w:val="1"/>
    <w:autoRedefine/>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32</Pages>
  <Words>13281</Words>
  <Characters>14071</Characters>
  <Lines>44</Lines>
  <Paragraphs>44</Paragraphs>
  <TotalTime>47</TotalTime>
  <ScaleCrop>false</ScaleCrop>
  <LinksUpToDate>false</LinksUpToDate>
  <CharactersWithSpaces>14776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2020-08-13T07:45:00Z</dcterms:created>
  <dc:creator>Administrator</dc:creator>
  <cp:lastModifiedBy>Administrator</cp:lastModifiedBy>
  <cp:lastPrinted>2024-09-18T08:41:00Z</cp:lastPrinted>
  <dcterms:modified xsi:type="dcterms:W3CDTF">2024-09-26T08:46:33Z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BA1ED44326304697B9D8271E9285CE71_13</vt:lpwstr>
  </property>
</Properties>
</file>