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中共沁阳市委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沁阳市人民政府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关于支持工业经济高质量发展十条意见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(征求意见稿)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为进一步优化我市营商环境，激发企业发展动力，推动我市工业经济创新、绿色发展，根据《中共焦作市委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焦作市人民政府关于支持工业经济高质量发展的若干意见》（焦发〔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2019〕6号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）文件精神，结合我市工业经济发展的实际情况，特制定本办法。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严格执行焦作市支持工业经济高质量发展政策。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中共焦作市委 </w:t>
      </w:r>
      <w:r>
        <w:rPr>
          <w:rFonts w:hint="eastAsia" w:ascii="仿宋_GB2312" w:hAnsi="仿宋_GB2312" w:eastAsia="仿宋_GB2312" w:cs="仿宋_GB2312"/>
          <w:sz w:val="32"/>
          <w:szCs w:val="32"/>
        </w:rPr>
        <w:t>焦作市人民政府关于支持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工业经济高质量发展的若干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意见》（焦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文件精神，积极帮助企业争创各种资金和荣誉，及时足额兑现各项奖励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二、认真落实招商引资扶持政策。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我市境内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所有企业均可享受《</w:t>
      </w:r>
      <w:r>
        <w:rPr>
          <w:rFonts w:hint="eastAsia" w:ascii="仿宋_GB2312" w:hAnsi="仿宋_GB2312" w:eastAsia="仿宋_GB2312" w:cs="仿宋_GB2312"/>
          <w:sz w:val="32"/>
          <w:szCs w:val="28"/>
        </w:rPr>
        <w:t>沁阳市人民政府关于印发沁阳市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招商引资优惠</w:t>
      </w:r>
      <w:r>
        <w:rPr>
          <w:rFonts w:hint="eastAsia" w:ascii="仿宋_GB2312" w:hAnsi="仿宋_GB2312" w:eastAsia="仿宋_GB2312" w:cs="仿宋_GB2312"/>
          <w:sz w:val="32"/>
          <w:szCs w:val="28"/>
        </w:rPr>
        <w:t>办法的通知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28"/>
        </w:rPr>
        <w:t>（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沁</w:t>
      </w:r>
      <w:r>
        <w:rPr>
          <w:rFonts w:hint="eastAsia" w:ascii="仿宋_GB2312" w:hAnsi="仿宋_GB2312" w:eastAsia="仿宋_GB2312" w:cs="仿宋_GB2312"/>
          <w:sz w:val="32"/>
          <w:szCs w:val="28"/>
        </w:rPr>
        <w:t>政〔201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28"/>
        </w:rPr>
        <w:t>〕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28"/>
        </w:rPr>
        <w:t>号）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文件规定的</w:t>
      </w:r>
      <w:r>
        <w:rPr>
          <w:rFonts w:hint="eastAsia" w:ascii="仿宋_GB2312" w:hAnsi="仿宋_GB2312" w:eastAsia="仿宋_GB2312" w:cs="仿宋_GB2312"/>
          <w:sz w:val="32"/>
          <w:szCs w:val="28"/>
        </w:rPr>
        <w:t>各项奖励政策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，新上项目符合招商引资优化办法的，经过招商中心考核认定，按照程序兑现扶持政策</w:t>
      </w:r>
      <w:r>
        <w:rPr>
          <w:rFonts w:hint="eastAsia" w:ascii="仿宋_GB2312" w:hAnsi="仿宋_GB2312" w:eastAsia="仿宋_GB2312" w:cs="仿宋_GB2312"/>
          <w:sz w:val="32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鼓励支持大项目建设。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对约定建设周期内建成投产、符合安全、环保要求，并对地方财政有实际贡献的，且项目固定资产实际投资额（不含土地费用）在1亿元以上的工业项目给予扶持，扶持资金最高不超过2000万元。其中：（1）固定资产投资在1亿元以上2亿元以下的项目，按该项目固定资产投资额的5%给予奖励；（2）固定资产投资在2亿元以上的项目，按该项目固定资产投资额的8%给予奖励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作：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对焦作市制造业十大产业总投资在1000万元以上的新建项目，且项目建设周期不超过两年，项目建成投产后，按照项目生产和技术设备投资额的5%给予奖励，最高不超过200万元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)。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 w:bidi="ar-SA"/>
        </w:rPr>
        <w:t>固定资产投资在3亿元以上的工业项目，属盘活批而未供土地和闲置低效用地的，且在协议约定建设周期内建成投产、符合安全、环保要求，并对地方财政有实际贡献的，在上述条款奖励基础上，对项目用地指标调剂费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8"/>
          <w:lang w:val="en-US" w:eastAsia="zh-CN" w:bidi="ar-SA"/>
        </w:rPr>
        <w:t>再给予50%的支持。（焦作：10亿元以上，30%扶持)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28"/>
          <w:lang w:val="en-US" w:eastAsia="zh-CN" w:bidi="ar-SA"/>
        </w:rPr>
        <w:t>四、扶持发展大企业（集群）。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中共焦作市委 </w:t>
      </w:r>
      <w:r>
        <w:rPr>
          <w:rFonts w:hint="eastAsia" w:ascii="仿宋_GB2312" w:hAnsi="仿宋_GB2312" w:eastAsia="仿宋_GB2312" w:cs="仿宋_GB2312"/>
          <w:sz w:val="32"/>
          <w:szCs w:val="32"/>
        </w:rPr>
        <w:t>焦作市人民政府关于支持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工业经济高质量发展的若干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意见》（焦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，按企业年度实现应税收入和财政贡献给予奖励。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年末</w:t>
      </w:r>
      <w:r>
        <w:rPr>
          <w:rFonts w:hint="eastAsia" w:ascii="仿宋_GB2312" w:hAnsi="仿宋_GB2312" w:eastAsia="仿宋_GB2312" w:cs="仿宋_GB2312"/>
          <w:sz w:val="32"/>
          <w:szCs w:val="32"/>
        </w:rPr>
        <w:t>为基数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，对年度应税营</w:t>
      </w:r>
      <w:r>
        <w:rPr>
          <w:rFonts w:hint="eastAsia" w:ascii="仿宋_GB2312" w:hAnsi="仿宋_GB2312" w:eastAsia="仿宋_GB2312" w:cs="仿宋_GB2312"/>
          <w:sz w:val="32"/>
          <w:szCs w:val="32"/>
        </w:rPr>
        <w:t>业收入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首次达到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10亿元的，以后每跨越一个10亿元台阶，市财政一次性奖励50万元；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应税营</w:t>
      </w:r>
      <w:r>
        <w:rPr>
          <w:rFonts w:hint="eastAsia" w:ascii="仿宋_GB2312" w:hAnsi="仿宋_GB2312" w:eastAsia="仿宋_GB2312" w:cs="仿宋_GB2312"/>
          <w:sz w:val="32"/>
          <w:szCs w:val="32"/>
        </w:rPr>
        <w:t>业收入首次突破50亿元、100亿元的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企业，分别一次性奖励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100万元、200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对年度税收地方贡献达到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5000万元以上的企业，市财政每年按企业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总额的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进行奖励；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对年度税收地方贡献达到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1亿元以上的企业，市财政每年按企业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总额的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15%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进行奖励。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（焦作：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应税营业收入首次突破50亿元，对地方贡献达到1亿元以上的大企业培育对象，受益财政奖励500万元；应税营业收入首次突破100亿元，对地方贡献达到2亿元以上的大企业培育对象，受益财政奖励1000万元。）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6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五、降低企业用地成本。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全面实行工业用地弹性年期出让，国家、省重大产业项目、战略性新兴产业项目等可按照20至50年弹性年期出让，允许产业集聚区内企业分期缴纳土地出让金。（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焦作促进非公经济高质量发展政策，焦营商办﹝2019﹞4号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土地使用税实行分类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扶持政策。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企业当年亩均税收超过50万元的，第二年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企业缴纳的土地使用税地方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收益部分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等额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企业亩均税收超过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缴纳土地使用税超4元/平方米的地方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收益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部分等额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企业亩均税收超过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万元的，第二年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缴纳土地使用税超6元/平方米的地方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收益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部分等额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(参照孟州市）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支持企业科技创新。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通过省级科技成果评价或新产品技术鉴定的，一次性奖励20万元。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企业对接引进国家、省级科技成果项目，在我市落地建设或开发产品应用成功的，按引进费用的15%给予奖励，最高不超100万元。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支持企业管理创新。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对导入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6S、精益生产等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卓越绩效管理模式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并经认定有效实施的企业，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在焦作市一次性奖励10万元的基础上，再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给予一次性奖励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企业主导制定本市团体标准(行业协会或企业联合制定的标准)，经市场监督部门核准实施的,给予一次性奖励10万元。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（3）企业应用先进的质量管理方法，被河南省质量协会评定为“河南质量诚信A等企业”AAA级、AA级、A级的，分别给予15万元、10万元、5万元奖励。产品获得国家、省知名品牌的，分别给予50万元、25万元奖励。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鼓励企业小升规。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对首次升级进入规摸以上的企业，市财政给予一次性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奖励3万元。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（焦作市特指</w:t>
      </w:r>
      <w:r>
        <w:rPr>
          <w:rFonts w:hint="default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战略新兴产业和数字经济等科技型小微企业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鼓励优待企业家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相关部门认定的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高管或技术骨干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及获得我市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优秀企业家称号的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，个人所得税当年地方留成部分全部奖励给本人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每年市财政安排不低于50万元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的培训经费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用于企业家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提高企业家队伍素质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(参照孟州市）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附则：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/>
          <w:sz w:val="32"/>
          <w:szCs w:val="32"/>
          <w:lang w:eastAsia="zh-CN"/>
        </w:rPr>
        <w:t>建立工业经济高质量发展联席会议制度。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沁阳市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工业经济高质量发展领导小组”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，由市长任组长，常务副市长及主管工业、环保的副市长任副组长，科工局、焦作生态环境局沁阳分局、发改委、财政局、税务局、产业集聚区、应急管理局、市场监督管理局、</w:t>
      </w:r>
      <w:r>
        <w:rPr>
          <w:rFonts w:hint="eastAsia" w:eastAsia="仿宋_GB2312" w:cs="Times New Roman"/>
          <w:sz w:val="32"/>
          <w:szCs w:val="32"/>
          <w:lang w:eastAsia="zh-CN"/>
        </w:rPr>
        <w:t>自然资源和规划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金融</w:t>
      </w:r>
      <w:r>
        <w:rPr>
          <w:rFonts w:hint="eastAsia" w:eastAsia="仿宋_GB2312" w:cs="Times New Roman"/>
          <w:sz w:val="32"/>
          <w:szCs w:val="32"/>
          <w:lang w:eastAsia="zh-CN"/>
        </w:rPr>
        <w:t>工作局、人社局等单位负责人为成员的领导小组，领导小组办公室设在市科工局，负责协调推动全市工业经济高质量发展。领导小组根据工作推进情况，适时召开成员单位联席会议，协调解决推进工业经济高质量发展中遇到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（二）本办法中的奖励资金总额原则上不高于企业年度纳税地方收益部分；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获奖企业所获奖项有重复的，按照就高不就低的原则不重复奖励。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本办法所有奖励资金，均由市财政负担。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（三）企业土地税分类扶持政策，参照2020年度企业亩均税收标准，从2021年开始执行。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符合奖励条件的企业和个人，由企业提出申请，经所在乡（镇）办事处初审同意后报沁阳市工业经济高质量发展领导小组办公室（市科工局），由市科工局结合市监察委、财政局、税务局、审计局、市场监督管理局、自然资源和规划局、焦作生态环境局沁阳分局、应急管理局等部门进行联合评审，报市政府常务会、市委常委会后同意后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本办法自发布之日起执行，如国家、省、焦作市出台的相关政策调整，适时修订完善后执行。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ind w:firstLine="5760" w:firstLineChars="1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6月  日</w:t>
      </w:r>
    </w:p>
    <w:p/>
    <w:sectPr>
      <w:pgSz w:w="11906" w:h="16838"/>
      <w:pgMar w:top="2268" w:right="1417" w:bottom="198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3493D"/>
    <w:rsid w:val="03A65E23"/>
    <w:rsid w:val="23D22817"/>
    <w:rsid w:val="296C3D63"/>
    <w:rsid w:val="4ED3493D"/>
    <w:rsid w:val="534D0D7C"/>
    <w:rsid w:val="558B29BA"/>
    <w:rsid w:val="57F55126"/>
    <w:rsid w:val="581229F6"/>
    <w:rsid w:val="582C4429"/>
    <w:rsid w:val="61BB5D46"/>
    <w:rsid w:val="6D3C4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2019-09-03T10:20:00Z</dcterms:created>
  <dc:creator>怀商之家（沁阳）</dc:creator>
  <cp:lastModifiedBy>Rainy</cp:lastModifiedBy>
  <cp:lastPrinted>2021-06-26T02:03:00Z</cp:lastPrinted>
  <dcterms:modified xsi:type="dcterms:W3CDTF">2021-06-27T01:09:05Z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8554E98F3D4443B7BB49CCFA2E8D8439</vt:lpwstr>
  </property>
</Properties>
</file>